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87" w:rsidRPr="00B11B60" w:rsidRDefault="00627087" w:rsidP="00627087">
      <w:pPr>
        <w:rPr>
          <w:rFonts w:cs="Times New Roman"/>
          <w:b/>
          <w:sz w:val="36"/>
          <w:szCs w:val="36"/>
          <w:lang w:eastAsia="es-ES"/>
        </w:rPr>
      </w:pPr>
      <w:r w:rsidRPr="00B11B60">
        <w:rPr>
          <w:rFonts w:cs="Times New Roman"/>
          <w:noProof/>
          <w:sz w:val="36"/>
          <w:szCs w:val="36"/>
          <w:lang w:val="es-BO" w:eastAsia="es-BO"/>
        </w:rPr>
        <w:drawing>
          <wp:anchor distT="0" distB="0" distL="114300" distR="114300" simplePos="0" relativeHeight="251691008" behindDoc="0" locked="0" layoutInCell="1" allowOverlap="1" wp14:anchorId="52D2ACEC" wp14:editId="7740AC01">
            <wp:simplePos x="0" y="0"/>
            <wp:positionH relativeFrom="margin">
              <wp:posOffset>-203835</wp:posOffset>
            </wp:positionH>
            <wp:positionV relativeFrom="paragraph">
              <wp:posOffset>13970</wp:posOffset>
            </wp:positionV>
            <wp:extent cx="1076325" cy="1444625"/>
            <wp:effectExtent l="0" t="0" r="9525" b="3175"/>
            <wp:wrapSquare wrapText="bothSides"/>
            <wp:docPr id="246" name="Imagen 246" descr="Umss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ss | PD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163" t="17460" r="17482" b="18617"/>
                    <a:stretch/>
                  </pic:blipFill>
                  <pic:spPr bwMode="auto">
                    <a:xfrm>
                      <a:off x="0" y="0"/>
                      <a:ext cx="1076325" cy="144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1B60">
        <w:rPr>
          <w:rFonts w:cs="Times New Roman"/>
          <w:b/>
          <w:noProof/>
          <w:sz w:val="36"/>
          <w:szCs w:val="36"/>
          <w:lang w:val="es-BO" w:eastAsia="es-BO"/>
        </w:rPr>
        <mc:AlternateContent>
          <mc:Choice Requires="wps">
            <w:drawing>
              <wp:anchor distT="0" distB="0" distL="114300" distR="114300" simplePos="0" relativeHeight="251692032" behindDoc="0" locked="0" layoutInCell="1" allowOverlap="1" wp14:anchorId="07138D24" wp14:editId="141A4B6A">
                <wp:simplePos x="0" y="0"/>
                <wp:positionH relativeFrom="column">
                  <wp:posOffset>1064895</wp:posOffset>
                </wp:positionH>
                <wp:positionV relativeFrom="paragraph">
                  <wp:posOffset>-147955</wp:posOffset>
                </wp:positionV>
                <wp:extent cx="0" cy="7905750"/>
                <wp:effectExtent l="19050" t="0" r="19050" b="19050"/>
                <wp:wrapNone/>
                <wp:docPr id="229" name="Conector recto 229"/>
                <wp:cNvGraphicFramePr/>
                <a:graphic xmlns:a="http://schemas.openxmlformats.org/drawingml/2006/main">
                  <a:graphicData uri="http://schemas.microsoft.com/office/word/2010/wordprocessingShape">
                    <wps:wsp>
                      <wps:cNvCnPr/>
                      <wps:spPr>
                        <a:xfrm>
                          <a:off x="0" y="0"/>
                          <a:ext cx="0" cy="79057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306A0" id="Conector recto 22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5pt,-11.65pt" to="83.85pt,6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" strokecolor="black [3200]" strokeweight="2.25pt">
                <v:stroke joinstyle="miter"/>
              </v:line>
            </w:pict>
          </mc:Fallback>
        </mc:AlternateContent>
      </w:r>
      <w:r>
        <w:rPr>
          <w:rFonts w:cs="Times New Roman"/>
          <w:b/>
          <w:sz w:val="36"/>
          <w:szCs w:val="36"/>
          <w:lang w:eastAsia="es-ES"/>
        </w:rPr>
        <w:t xml:space="preserve">      </w:t>
      </w:r>
      <w:r w:rsidRPr="00B11B60">
        <w:rPr>
          <w:rFonts w:cs="Times New Roman"/>
          <w:b/>
          <w:sz w:val="36"/>
          <w:szCs w:val="36"/>
          <w:lang w:eastAsia="es-ES"/>
        </w:rPr>
        <w:t xml:space="preserve">UNIVERSIDAD MAYOR DE SAN SIMÓN </w:t>
      </w:r>
    </w:p>
    <w:p w:rsidR="00627087" w:rsidRPr="00104067" w:rsidRDefault="00627087" w:rsidP="00627087">
      <w:pPr>
        <w:ind w:left="1985"/>
        <w:jc w:val="center"/>
        <w:rPr>
          <w:rFonts w:cs="Times New Roman"/>
          <w:b/>
          <w:sz w:val="32"/>
          <w:szCs w:val="32"/>
          <w:lang w:eastAsia="es-ES"/>
        </w:rPr>
      </w:pPr>
      <w:r w:rsidRPr="00104067">
        <w:rPr>
          <w:rFonts w:cs="Times New Roman"/>
          <w:b/>
          <w:sz w:val="32"/>
          <w:szCs w:val="32"/>
          <w:lang w:eastAsia="es-ES"/>
        </w:rPr>
        <w:t xml:space="preserve">FACULTAD DE CIENCIAS AGRÍCOLAS Y PECUARIAS  </w:t>
      </w:r>
    </w:p>
    <w:p w:rsidR="00627087" w:rsidRPr="00104067" w:rsidRDefault="00627087" w:rsidP="00627087">
      <w:pPr>
        <w:ind w:left="1985"/>
        <w:jc w:val="center"/>
        <w:rPr>
          <w:rFonts w:cs="Times New Roman"/>
          <w:b/>
          <w:sz w:val="32"/>
          <w:szCs w:val="32"/>
          <w:lang w:eastAsia="es-ES"/>
        </w:rPr>
      </w:pPr>
      <w:r w:rsidRPr="00104067">
        <w:rPr>
          <w:rFonts w:cs="Times New Roman"/>
          <w:b/>
          <w:sz w:val="32"/>
          <w:szCs w:val="32"/>
          <w:lang w:eastAsia="es-ES"/>
        </w:rPr>
        <w:t xml:space="preserve">“Dr. MARTÍN CÁRDENAS” </w:t>
      </w:r>
    </w:p>
    <w:p w:rsidR="00627087" w:rsidRPr="00A10C1E" w:rsidRDefault="00627087" w:rsidP="00627087">
      <w:pPr>
        <w:jc w:val="center"/>
        <w:rPr>
          <w:rFonts w:cs="Times New Roman"/>
          <w:b/>
          <w:szCs w:val="24"/>
          <w:lang w:eastAsia="es-ES"/>
        </w:rPr>
      </w:pPr>
      <w:r w:rsidRPr="00A10C1E">
        <w:rPr>
          <w:rFonts w:cs="Times New Roman"/>
          <w:b/>
          <w:szCs w:val="24"/>
          <w:lang w:eastAsia="es-ES"/>
        </w:rPr>
        <w:t xml:space="preserve"> </w:t>
      </w:r>
    </w:p>
    <w:p w:rsidR="00627087" w:rsidRDefault="00627087" w:rsidP="00627087">
      <w:pPr>
        <w:jc w:val="center"/>
        <w:rPr>
          <w:rFonts w:cs="Times New Roman"/>
          <w:b/>
          <w:szCs w:val="28"/>
          <w:lang w:eastAsia="es-ES"/>
        </w:rPr>
      </w:pPr>
    </w:p>
    <w:p w:rsidR="00627087" w:rsidRDefault="00627087" w:rsidP="00627087">
      <w:pPr>
        <w:jc w:val="center"/>
        <w:rPr>
          <w:noProof/>
          <w:lang w:val="es-BO" w:eastAsia="es-BO"/>
        </w:rPr>
      </w:pPr>
    </w:p>
    <w:p w:rsidR="00627087" w:rsidRDefault="00627087" w:rsidP="00627087">
      <w:pPr>
        <w:jc w:val="center"/>
        <w:rPr>
          <w:rFonts w:cs="Times New Roman"/>
          <w:b/>
          <w:szCs w:val="28"/>
          <w:lang w:eastAsia="es-ES"/>
        </w:rPr>
      </w:pPr>
      <w:r>
        <w:rPr>
          <w:noProof/>
          <w:lang w:val="es-BO" w:eastAsia="es-BO"/>
        </w:rPr>
        <w:drawing>
          <wp:anchor distT="0" distB="0" distL="114300" distR="114300" simplePos="0" relativeHeight="251693056" behindDoc="0" locked="0" layoutInCell="1" allowOverlap="1" wp14:anchorId="4FCBD0DD" wp14:editId="59188055">
            <wp:simplePos x="0" y="0"/>
            <wp:positionH relativeFrom="margin">
              <wp:posOffset>-260985</wp:posOffset>
            </wp:positionH>
            <wp:positionV relativeFrom="paragraph">
              <wp:posOffset>305435</wp:posOffset>
            </wp:positionV>
            <wp:extent cx="1095375" cy="1440180"/>
            <wp:effectExtent l="0" t="0" r="9525" b="7620"/>
            <wp:wrapSquare wrapText="bothSides"/>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440180"/>
                    </a:xfrm>
                    <a:prstGeom prst="rect">
                      <a:avLst/>
                    </a:prstGeom>
                    <a:noFill/>
                  </pic:spPr>
                </pic:pic>
              </a:graphicData>
            </a:graphic>
            <wp14:sizeRelH relativeFrom="page">
              <wp14:pctWidth>0</wp14:pctWidth>
            </wp14:sizeRelH>
            <wp14:sizeRelV relativeFrom="page">
              <wp14:pctHeight>0</wp14:pctHeight>
            </wp14:sizeRelV>
          </wp:anchor>
        </w:drawing>
      </w:r>
    </w:p>
    <w:p w:rsidR="00627087" w:rsidRDefault="00627087" w:rsidP="00627087">
      <w:pPr>
        <w:rPr>
          <w:rFonts w:cs="Times New Roman"/>
          <w:b/>
          <w:szCs w:val="28"/>
          <w:lang w:eastAsia="es-ES"/>
        </w:rPr>
      </w:pPr>
    </w:p>
    <w:p w:rsidR="00627087" w:rsidRPr="002F5A10" w:rsidRDefault="00627087" w:rsidP="00627087">
      <w:pPr>
        <w:jc w:val="center"/>
        <w:rPr>
          <w:rFonts w:cs="Times New Roman"/>
          <w:b/>
          <w:szCs w:val="28"/>
          <w:lang w:eastAsia="es-ES"/>
        </w:rPr>
      </w:pPr>
    </w:p>
    <w:p w:rsidR="00627087" w:rsidRPr="00B11B60" w:rsidRDefault="00627087" w:rsidP="00627087">
      <w:pPr>
        <w:pStyle w:val="Prrafodelista"/>
        <w:spacing w:line="360" w:lineRule="auto"/>
        <w:ind w:left="2124"/>
        <w:jc w:val="center"/>
        <w:rPr>
          <w:rFonts w:cs="Times New Roman"/>
          <w:b/>
          <w:sz w:val="28"/>
          <w:szCs w:val="28"/>
          <w:lang w:val="es-MX"/>
        </w:rPr>
      </w:pPr>
      <w:r w:rsidRPr="00B11B60">
        <w:rPr>
          <w:rFonts w:cs="Times New Roman"/>
          <w:b/>
          <w:sz w:val="28"/>
          <w:szCs w:val="28"/>
          <w:lang w:val="es-MX"/>
        </w:rPr>
        <w:t xml:space="preserve">Aislamiento y selección de bacterias endófitas                          solubilizadoras de fósforo de </w:t>
      </w:r>
      <w:r w:rsidRPr="00B11B60">
        <w:rPr>
          <w:rFonts w:cs="Times New Roman"/>
          <w:b/>
          <w:i/>
          <w:sz w:val="28"/>
          <w:szCs w:val="28"/>
          <w:lang w:val="es-MX"/>
        </w:rPr>
        <w:t>Schinus molle</w:t>
      </w:r>
      <w:r w:rsidRPr="00B11B60">
        <w:rPr>
          <w:rFonts w:cs="Times New Roman"/>
          <w:b/>
          <w:sz w:val="28"/>
          <w:szCs w:val="28"/>
          <w:lang w:val="es-MX"/>
        </w:rPr>
        <w:t xml:space="preserve">, </w:t>
      </w:r>
      <w:r w:rsidRPr="00B11B60">
        <w:rPr>
          <w:rFonts w:cs="Times New Roman"/>
          <w:b/>
          <w:i/>
          <w:sz w:val="28"/>
          <w:szCs w:val="28"/>
          <w:lang w:val="es-MX"/>
        </w:rPr>
        <w:t>Eryth</w:t>
      </w:r>
      <w:r>
        <w:rPr>
          <w:rFonts w:cs="Times New Roman"/>
          <w:b/>
          <w:i/>
          <w:sz w:val="28"/>
          <w:szCs w:val="28"/>
          <w:lang w:val="es-MX"/>
        </w:rPr>
        <w:t>r</w:t>
      </w:r>
      <w:r w:rsidRPr="00B11B60">
        <w:rPr>
          <w:rFonts w:cs="Times New Roman"/>
          <w:b/>
          <w:i/>
          <w:sz w:val="28"/>
          <w:szCs w:val="28"/>
          <w:lang w:val="es-MX"/>
        </w:rPr>
        <w:t xml:space="preserve">ina falcata </w:t>
      </w:r>
      <w:r w:rsidRPr="00B11B60">
        <w:rPr>
          <w:rFonts w:cs="Times New Roman"/>
          <w:b/>
          <w:sz w:val="28"/>
          <w:szCs w:val="28"/>
          <w:lang w:val="es-MX"/>
        </w:rPr>
        <w:t xml:space="preserve">y </w:t>
      </w:r>
      <w:r w:rsidRPr="00B11B60">
        <w:rPr>
          <w:rFonts w:cs="Times New Roman"/>
          <w:b/>
          <w:i/>
          <w:sz w:val="28"/>
          <w:szCs w:val="28"/>
          <w:lang w:val="es-MX"/>
        </w:rPr>
        <w:t>Prosopis alba</w:t>
      </w:r>
    </w:p>
    <w:p w:rsidR="00627087" w:rsidRDefault="00627087" w:rsidP="00627087">
      <w:pPr>
        <w:tabs>
          <w:tab w:val="left" w:pos="645"/>
        </w:tabs>
        <w:rPr>
          <w:rFonts w:cs="Times New Roman"/>
          <w:b/>
          <w:szCs w:val="28"/>
          <w:lang w:eastAsia="es-ES"/>
        </w:rPr>
      </w:pPr>
    </w:p>
    <w:p w:rsidR="00627087" w:rsidRDefault="00627087" w:rsidP="00627087">
      <w:pPr>
        <w:tabs>
          <w:tab w:val="left" w:pos="5497"/>
        </w:tabs>
        <w:rPr>
          <w:rFonts w:cs="Times New Roman"/>
          <w:b/>
          <w:szCs w:val="28"/>
          <w:lang w:eastAsia="es-ES"/>
        </w:rPr>
      </w:pPr>
      <w:r>
        <w:rPr>
          <w:rFonts w:cs="Times New Roman"/>
          <w:b/>
          <w:szCs w:val="28"/>
          <w:lang w:eastAsia="es-ES"/>
        </w:rPr>
        <w:tab/>
      </w:r>
    </w:p>
    <w:p w:rsidR="00627087" w:rsidRDefault="00627087" w:rsidP="00627087">
      <w:pPr>
        <w:tabs>
          <w:tab w:val="left" w:pos="5497"/>
        </w:tabs>
        <w:rPr>
          <w:rFonts w:cs="Times New Roman"/>
          <w:b/>
          <w:szCs w:val="28"/>
          <w:lang w:eastAsia="es-ES"/>
        </w:rPr>
      </w:pPr>
    </w:p>
    <w:p w:rsidR="00627087" w:rsidRDefault="00627087" w:rsidP="00627087">
      <w:pPr>
        <w:jc w:val="center"/>
        <w:rPr>
          <w:rFonts w:cs="Times New Roman"/>
          <w:b/>
          <w:szCs w:val="28"/>
          <w:lang w:eastAsia="es-ES"/>
        </w:rPr>
      </w:pPr>
    </w:p>
    <w:p w:rsidR="00627087" w:rsidRPr="006D4790" w:rsidRDefault="00627087" w:rsidP="00627087">
      <w:pPr>
        <w:ind w:left="1985"/>
        <w:jc w:val="center"/>
        <w:rPr>
          <w:rFonts w:cs="Times New Roman"/>
          <w:szCs w:val="24"/>
          <w:lang w:eastAsia="es-ES"/>
        </w:rPr>
      </w:pPr>
      <w:r w:rsidRPr="006D4790">
        <w:rPr>
          <w:rFonts w:cs="Times New Roman"/>
          <w:b/>
          <w:szCs w:val="24"/>
          <w:lang w:eastAsia="es-ES"/>
        </w:rPr>
        <w:t xml:space="preserve">Responsable: </w:t>
      </w:r>
      <w:r w:rsidRPr="006D4790">
        <w:rPr>
          <w:rFonts w:cs="Times New Roman"/>
          <w:szCs w:val="24"/>
          <w:lang w:eastAsia="es-ES"/>
        </w:rPr>
        <w:t>Nimia Elena Chavez Torrez</w:t>
      </w:r>
    </w:p>
    <w:p w:rsidR="00627087" w:rsidRPr="006D4790" w:rsidRDefault="00627087" w:rsidP="00627087">
      <w:pPr>
        <w:ind w:left="1985"/>
        <w:rPr>
          <w:rFonts w:cs="Times New Roman"/>
          <w:szCs w:val="24"/>
          <w:lang w:eastAsia="es-ES"/>
        </w:rPr>
      </w:pPr>
      <w:r>
        <w:rPr>
          <w:rFonts w:cs="Times New Roman"/>
          <w:b/>
          <w:szCs w:val="24"/>
          <w:lang w:eastAsia="es-ES"/>
        </w:rPr>
        <w:t xml:space="preserve">                         </w:t>
      </w:r>
      <w:r>
        <w:rPr>
          <w:rFonts w:cs="Times New Roman"/>
          <w:b/>
          <w:szCs w:val="24"/>
          <w:lang w:eastAsia="es-ES"/>
        </w:rPr>
        <w:t xml:space="preserve">   </w:t>
      </w:r>
      <w:r w:rsidRPr="00B11B60">
        <w:rPr>
          <w:rFonts w:cs="Times New Roman"/>
          <w:b/>
          <w:szCs w:val="24"/>
          <w:lang w:eastAsia="es-ES"/>
        </w:rPr>
        <w:t xml:space="preserve">Tutor: </w:t>
      </w:r>
      <w:r w:rsidRPr="006D4790">
        <w:rPr>
          <w:rFonts w:cs="Times New Roman"/>
          <w:szCs w:val="24"/>
          <w:lang w:eastAsia="es-ES"/>
        </w:rPr>
        <w:t>M. Sc.</w:t>
      </w:r>
      <w:r w:rsidRPr="00B11B60">
        <w:rPr>
          <w:rFonts w:cs="Times New Roman"/>
          <w:b/>
          <w:szCs w:val="24"/>
          <w:lang w:eastAsia="es-ES"/>
        </w:rPr>
        <w:t xml:space="preserve"> </w:t>
      </w:r>
      <w:r w:rsidRPr="006D4790">
        <w:rPr>
          <w:rFonts w:cs="Times New Roman"/>
          <w:szCs w:val="24"/>
          <w:lang w:eastAsia="es-ES"/>
        </w:rPr>
        <w:t>Felipe Noel Ortuño Castro</w:t>
      </w:r>
    </w:p>
    <w:p w:rsidR="00627087" w:rsidRPr="006D4790" w:rsidRDefault="00627087" w:rsidP="00627087">
      <w:pPr>
        <w:jc w:val="center"/>
        <w:rPr>
          <w:rFonts w:cs="Times New Roman"/>
          <w:b/>
          <w:szCs w:val="24"/>
          <w:lang w:eastAsia="es-ES"/>
        </w:rPr>
      </w:pPr>
    </w:p>
    <w:p w:rsidR="00627087" w:rsidRDefault="00627087" w:rsidP="00627087">
      <w:pPr>
        <w:jc w:val="center"/>
        <w:rPr>
          <w:rFonts w:cs="Times New Roman"/>
          <w:b/>
          <w:szCs w:val="28"/>
          <w:lang w:eastAsia="es-ES"/>
        </w:rPr>
      </w:pPr>
      <w:r w:rsidRPr="002F5A10">
        <w:rPr>
          <w:rFonts w:cs="Times New Roman"/>
          <w:b/>
          <w:szCs w:val="28"/>
          <w:lang w:eastAsia="es-ES"/>
        </w:rPr>
        <w:t xml:space="preserve"> </w:t>
      </w:r>
    </w:p>
    <w:p w:rsidR="00627087" w:rsidRDefault="00627087" w:rsidP="00627087">
      <w:pPr>
        <w:jc w:val="center"/>
        <w:rPr>
          <w:rFonts w:cs="Times New Roman"/>
          <w:b/>
          <w:szCs w:val="28"/>
          <w:lang w:eastAsia="es-ES"/>
        </w:rPr>
      </w:pPr>
    </w:p>
    <w:p w:rsidR="00627087" w:rsidRDefault="00627087" w:rsidP="00627087">
      <w:pPr>
        <w:jc w:val="center"/>
        <w:rPr>
          <w:rFonts w:cs="Times New Roman"/>
          <w:b/>
          <w:szCs w:val="28"/>
          <w:lang w:eastAsia="es-ES"/>
        </w:rPr>
      </w:pPr>
    </w:p>
    <w:p w:rsidR="00627087" w:rsidRDefault="00627087" w:rsidP="00627087">
      <w:pPr>
        <w:jc w:val="center"/>
        <w:rPr>
          <w:rFonts w:cs="Times New Roman"/>
          <w:b/>
          <w:szCs w:val="28"/>
          <w:lang w:eastAsia="es-ES"/>
        </w:rPr>
      </w:pPr>
    </w:p>
    <w:p w:rsidR="00627087" w:rsidRPr="002F5A10" w:rsidRDefault="00627087" w:rsidP="00627087">
      <w:pPr>
        <w:jc w:val="center"/>
        <w:rPr>
          <w:rFonts w:cs="Times New Roman"/>
          <w:b/>
          <w:szCs w:val="28"/>
          <w:lang w:eastAsia="es-ES"/>
        </w:rPr>
      </w:pPr>
    </w:p>
    <w:p w:rsidR="00627087" w:rsidRPr="006D4790" w:rsidRDefault="00627087" w:rsidP="00627087">
      <w:pPr>
        <w:ind w:firstLine="1985"/>
        <w:jc w:val="center"/>
        <w:rPr>
          <w:rFonts w:cs="Times New Roman"/>
          <w:b/>
          <w:szCs w:val="24"/>
          <w:lang w:eastAsia="es-ES"/>
        </w:rPr>
      </w:pPr>
      <w:r w:rsidRPr="006D4790">
        <w:rPr>
          <w:rFonts w:cs="Times New Roman"/>
          <w:b/>
          <w:szCs w:val="24"/>
          <w:lang w:eastAsia="es-ES"/>
        </w:rPr>
        <w:t>COCHABAMBA</w:t>
      </w:r>
      <w:r>
        <w:rPr>
          <w:rFonts w:cs="Times New Roman"/>
          <w:b/>
          <w:szCs w:val="24"/>
          <w:lang w:eastAsia="es-ES"/>
        </w:rPr>
        <w:t xml:space="preserve"> </w:t>
      </w:r>
      <w:r w:rsidRPr="006D4790">
        <w:rPr>
          <w:rFonts w:cs="Times New Roman"/>
          <w:b/>
          <w:szCs w:val="24"/>
          <w:lang w:eastAsia="es-ES"/>
        </w:rPr>
        <w:t xml:space="preserve"> – </w:t>
      </w:r>
      <w:r>
        <w:rPr>
          <w:rFonts w:cs="Times New Roman"/>
          <w:b/>
          <w:szCs w:val="24"/>
          <w:lang w:eastAsia="es-ES"/>
        </w:rPr>
        <w:t xml:space="preserve"> </w:t>
      </w:r>
      <w:r w:rsidRPr="006D4790">
        <w:rPr>
          <w:rFonts w:cs="Times New Roman"/>
          <w:b/>
          <w:szCs w:val="24"/>
          <w:lang w:eastAsia="es-ES"/>
        </w:rPr>
        <w:t>BOLIVIA</w:t>
      </w:r>
    </w:p>
    <w:p w:rsidR="00627087" w:rsidRPr="00627087" w:rsidRDefault="00627087" w:rsidP="00627087">
      <w:pPr>
        <w:ind w:firstLine="1985"/>
        <w:jc w:val="center"/>
        <w:rPr>
          <w:rFonts w:cs="Times New Roman"/>
          <w:b/>
          <w:szCs w:val="24"/>
          <w:lang w:eastAsia="es-ES"/>
        </w:rPr>
      </w:pPr>
      <w:r w:rsidRPr="006D4790">
        <w:rPr>
          <w:rFonts w:cs="Times New Roman"/>
          <w:b/>
          <w:szCs w:val="24"/>
          <w:lang w:eastAsia="es-ES"/>
        </w:rPr>
        <w:t>2022</w:t>
      </w:r>
    </w:p>
    <w:p w:rsidR="00146982" w:rsidRPr="00CD6E7C" w:rsidRDefault="004A0ADA" w:rsidP="00CD6E7C">
      <w:pPr>
        <w:pStyle w:val="Prrafodelista"/>
        <w:ind w:left="360"/>
        <w:jc w:val="center"/>
        <w:rPr>
          <w:rFonts w:cs="Times New Roman"/>
          <w:b/>
          <w:szCs w:val="24"/>
          <w:lang w:val="es-MX"/>
        </w:rPr>
      </w:pPr>
      <w:r w:rsidRPr="00AE5E48">
        <w:rPr>
          <w:rFonts w:cs="Times New Roman"/>
          <w:b/>
          <w:szCs w:val="24"/>
          <w:lang w:val="es-MX"/>
        </w:rPr>
        <w:lastRenderedPageBreak/>
        <w:t xml:space="preserve">Aislamiento y selección de bacterias endófitas solubilizadoras de fósforo de </w:t>
      </w:r>
      <w:r w:rsidRPr="00AE5E48">
        <w:rPr>
          <w:rFonts w:cs="Times New Roman"/>
          <w:b/>
          <w:i/>
          <w:szCs w:val="24"/>
          <w:lang w:val="es-MX"/>
        </w:rPr>
        <w:t>Schinus molle</w:t>
      </w:r>
      <w:r w:rsidRPr="00AE5E48">
        <w:rPr>
          <w:rFonts w:cs="Times New Roman"/>
          <w:b/>
          <w:szCs w:val="24"/>
          <w:lang w:val="es-MX"/>
        </w:rPr>
        <w:t xml:space="preserve">, </w:t>
      </w:r>
      <w:r w:rsidRPr="00AE5E48">
        <w:rPr>
          <w:rFonts w:cs="Times New Roman"/>
          <w:b/>
          <w:i/>
          <w:szCs w:val="24"/>
          <w:lang w:val="es-MX"/>
        </w:rPr>
        <w:t xml:space="preserve">Erythina falcata </w:t>
      </w:r>
      <w:r w:rsidRPr="00AE5E48">
        <w:rPr>
          <w:rFonts w:cs="Times New Roman"/>
          <w:b/>
          <w:szCs w:val="24"/>
          <w:lang w:val="es-MX"/>
        </w:rPr>
        <w:t xml:space="preserve">y </w:t>
      </w:r>
      <w:r w:rsidRPr="00AE5E48">
        <w:rPr>
          <w:rFonts w:cs="Times New Roman"/>
          <w:b/>
          <w:i/>
          <w:szCs w:val="24"/>
          <w:lang w:val="es-MX"/>
        </w:rPr>
        <w:t>Prosopis alba</w:t>
      </w:r>
    </w:p>
    <w:p w:rsidR="004F22FD" w:rsidRPr="00AE5E48" w:rsidRDefault="004F22FD" w:rsidP="00AE5E48">
      <w:pPr>
        <w:spacing w:after="0"/>
        <w:jc w:val="center"/>
        <w:rPr>
          <w:sz w:val="22"/>
        </w:rPr>
      </w:pPr>
      <w:r w:rsidRPr="00AE5E48">
        <w:rPr>
          <w:sz w:val="22"/>
        </w:rPr>
        <w:t>Nimia Elena Chavez Torrez</w:t>
      </w:r>
    </w:p>
    <w:p w:rsidR="00F91832" w:rsidRDefault="006F2461" w:rsidP="00F91832">
      <w:pPr>
        <w:spacing w:after="0"/>
        <w:jc w:val="center"/>
        <w:rPr>
          <w:sz w:val="22"/>
        </w:rPr>
      </w:pPr>
      <w:hyperlink r:id="rId10" w:history="1">
        <w:r w:rsidR="004F22FD" w:rsidRPr="00AE5E48">
          <w:rPr>
            <w:rStyle w:val="Hipervnculo"/>
            <w:color w:val="auto"/>
            <w:sz w:val="22"/>
            <w:u w:val="none"/>
          </w:rPr>
          <w:t>Aymin24g@gmail.com</w:t>
        </w:r>
      </w:hyperlink>
    </w:p>
    <w:p w:rsidR="00F91832" w:rsidRPr="00F91832" w:rsidRDefault="00F91832" w:rsidP="00F91832">
      <w:pPr>
        <w:spacing w:after="0"/>
        <w:jc w:val="center"/>
        <w:rPr>
          <w:sz w:val="22"/>
        </w:rPr>
      </w:pPr>
    </w:p>
    <w:p w:rsidR="00F91832" w:rsidRPr="00681795" w:rsidRDefault="00F91832" w:rsidP="00F91832">
      <w:pPr>
        <w:spacing w:line="360" w:lineRule="auto"/>
        <w:jc w:val="center"/>
        <w:rPr>
          <w:rFonts w:cs="Times New Roman"/>
          <w:b/>
          <w:sz w:val="22"/>
        </w:rPr>
      </w:pPr>
      <w:r w:rsidRPr="00681795">
        <w:rPr>
          <w:rFonts w:cs="Times New Roman"/>
          <w:b/>
          <w:sz w:val="22"/>
        </w:rPr>
        <w:t>Resumen</w:t>
      </w:r>
    </w:p>
    <w:p w:rsidR="00F91832" w:rsidRPr="00681795" w:rsidRDefault="0065638F" w:rsidP="00F91832">
      <w:pPr>
        <w:spacing w:line="360" w:lineRule="auto"/>
        <w:jc w:val="both"/>
        <w:rPr>
          <w:rFonts w:cs="Times New Roman"/>
          <w:b/>
          <w:sz w:val="22"/>
          <w:lang w:val="es-MX"/>
        </w:rPr>
      </w:pPr>
      <w:r>
        <w:rPr>
          <w:rFonts w:cs="Times New Roman"/>
          <w:b/>
          <w:sz w:val="22"/>
          <w:lang w:val="es-MX"/>
        </w:rPr>
        <w:t>Aislamiento y selección de bacterias endófitas solubilizadoras de f</w:t>
      </w:r>
      <w:r w:rsidR="00F91832" w:rsidRPr="00681795">
        <w:rPr>
          <w:rFonts w:cs="Times New Roman"/>
          <w:b/>
          <w:sz w:val="22"/>
          <w:lang w:val="es-MX"/>
        </w:rPr>
        <w:t xml:space="preserve">ósforo de </w:t>
      </w:r>
      <w:bookmarkStart w:id="0" w:name="_GoBack"/>
      <w:bookmarkEnd w:id="0"/>
      <w:r w:rsidR="00F91832" w:rsidRPr="00681795">
        <w:rPr>
          <w:rFonts w:cs="Times New Roman"/>
          <w:b/>
          <w:i/>
          <w:sz w:val="22"/>
          <w:lang w:val="es-MX"/>
        </w:rPr>
        <w:t>Schinus molle</w:t>
      </w:r>
      <w:r w:rsidR="00F91832" w:rsidRPr="00681795">
        <w:rPr>
          <w:rFonts w:cs="Times New Roman"/>
          <w:b/>
          <w:sz w:val="22"/>
          <w:lang w:val="es-MX"/>
        </w:rPr>
        <w:t xml:space="preserve">, </w:t>
      </w:r>
      <w:r w:rsidR="00F91832" w:rsidRPr="00681795">
        <w:rPr>
          <w:rFonts w:cs="Times New Roman"/>
          <w:b/>
          <w:i/>
          <w:sz w:val="22"/>
          <w:lang w:val="es-MX"/>
        </w:rPr>
        <w:t>Eryth</w:t>
      </w:r>
      <w:r w:rsidR="00F91832">
        <w:rPr>
          <w:rFonts w:cs="Times New Roman"/>
          <w:b/>
          <w:i/>
          <w:sz w:val="22"/>
          <w:lang w:val="es-MX"/>
        </w:rPr>
        <w:t>r</w:t>
      </w:r>
      <w:r w:rsidR="00F91832" w:rsidRPr="00681795">
        <w:rPr>
          <w:rFonts w:cs="Times New Roman"/>
          <w:b/>
          <w:i/>
          <w:sz w:val="22"/>
          <w:lang w:val="es-MX"/>
        </w:rPr>
        <w:t xml:space="preserve">ina falcata </w:t>
      </w:r>
      <w:r w:rsidR="00F91832" w:rsidRPr="00681795">
        <w:rPr>
          <w:rFonts w:cs="Times New Roman"/>
          <w:b/>
          <w:sz w:val="22"/>
          <w:lang w:val="es-MX"/>
        </w:rPr>
        <w:t xml:space="preserve">y </w:t>
      </w:r>
      <w:r w:rsidR="00F91832" w:rsidRPr="00681795">
        <w:rPr>
          <w:rFonts w:cs="Times New Roman"/>
          <w:b/>
          <w:i/>
          <w:sz w:val="22"/>
          <w:lang w:val="es-MX"/>
        </w:rPr>
        <w:t>Prosopis alba</w:t>
      </w:r>
      <w:r w:rsidR="00F91832" w:rsidRPr="00681795">
        <w:rPr>
          <w:rFonts w:cs="Times New Roman"/>
          <w:b/>
          <w:sz w:val="22"/>
          <w:lang w:val="es-MX"/>
        </w:rPr>
        <w:t xml:space="preserve">. </w:t>
      </w:r>
      <w:r w:rsidR="00F91832" w:rsidRPr="00681795">
        <w:rPr>
          <w:rFonts w:cs="Times New Roman"/>
          <w:sz w:val="22"/>
        </w:rPr>
        <w:t xml:space="preserve">El fósforo (P) es </w:t>
      </w:r>
      <w:r w:rsidR="00F91832" w:rsidRPr="00681795">
        <w:rPr>
          <w:rFonts w:cs="Times New Roman"/>
          <w:bCs/>
          <w:sz w:val="22"/>
          <w:shd w:val="clear" w:color="auto" w:fill="FFFFFF"/>
        </w:rPr>
        <w:t xml:space="preserve">un elemento esencial para el crecimiento y desarrollo de las plantas, este se encuentra en baja disponibilidad en el suelo. Por ello se busca alternativas como el uso de microoganismos. En este trabajo se </w:t>
      </w:r>
      <w:r w:rsidR="00F91832" w:rsidRPr="00681795">
        <w:rPr>
          <w:rFonts w:cs="Times New Roman"/>
          <w:sz w:val="22"/>
        </w:rPr>
        <w:t>realizó el aislamiento</w:t>
      </w:r>
      <w:r w:rsidR="00F91832">
        <w:rPr>
          <w:rFonts w:cs="Times New Roman"/>
          <w:sz w:val="22"/>
        </w:rPr>
        <w:t xml:space="preserve"> y selección </w:t>
      </w:r>
      <w:r w:rsidR="00F91832" w:rsidRPr="00681795">
        <w:rPr>
          <w:rFonts w:cs="Times New Roman"/>
          <w:sz w:val="22"/>
        </w:rPr>
        <w:t xml:space="preserve"> de bacterias</w:t>
      </w:r>
      <w:r w:rsidR="00F91832">
        <w:rPr>
          <w:rFonts w:cs="Times New Roman"/>
          <w:sz w:val="22"/>
        </w:rPr>
        <w:t xml:space="preserve"> endófitas tipo </w:t>
      </w:r>
      <w:r w:rsidR="00F91832">
        <w:rPr>
          <w:rFonts w:cs="Times New Roman"/>
          <w:i/>
          <w:sz w:val="22"/>
        </w:rPr>
        <w:t>B</w:t>
      </w:r>
      <w:r w:rsidR="00F91832" w:rsidRPr="00F94883">
        <w:rPr>
          <w:rFonts w:cs="Times New Roman"/>
          <w:i/>
          <w:sz w:val="22"/>
        </w:rPr>
        <w:t>acillus</w:t>
      </w:r>
      <w:r w:rsidR="00F91832">
        <w:rPr>
          <w:rFonts w:cs="Times New Roman"/>
          <w:sz w:val="22"/>
        </w:rPr>
        <w:t xml:space="preserve"> solubilizadoras de fósforo a partir de segmentos de raíces de tres especies forestales </w:t>
      </w:r>
      <w:r w:rsidR="00F91832" w:rsidRPr="00681795">
        <w:rPr>
          <w:rFonts w:cs="Times New Roman"/>
          <w:sz w:val="22"/>
        </w:rPr>
        <w:t>nativas (</w:t>
      </w:r>
      <w:r w:rsidR="00F91832" w:rsidRPr="00681795">
        <w:rPr>
          <w:rFonts w:cs="Times New Roman"/>
          <w:i/>
          <w:sz w:val="22"/>
          <w:lang w:val="es-MX"/>
        </w:rPr>
        <w:t>Schinus molle</w:t>
      </w:r>
      <w:r w:rsidR="00F91832" w:rsidRPr="00681795">
        <w:rPr>
          <w:rFonts w:cs="Times New Roman"/>
          <w:sz w:val="22"/>
          <w:lang w:val="es-MX"/>
        </w:rPr>
        <w:t xml:space="preserve">, </w:t>
      </w:r>
      <w:r w:rsidR="00F91832" w:rsidRPr="00681795">
        <w:rPr>
          <w:rFonts w:cs="Times New Roman"/>
          <w:i/>
          <w:sz w:val="22"/>
          <w:lang w:val="es-MX"/>
        </w:rPr>
        <w:t>Eryth</w:t>
      </w:r>
      <w:r w:rsidR="00F91832">
        <w:rPr>
          <w:rFonts w:cs="Times New Roman"/>
          <w:i/>
          <w:sz w:val="22"/>
          <w:lang w:val="es-MX"/>
        </w:rPr>
        <w:t>r</w:t>
      </w:r>
      <w:r w:rsidR="00F91832" w:rsidRPr="00681795">
        <w:rPr>
          <w:rFonts w:cs="Times New Roman"/>
          <w:i/>
          <w:sz w:val="22"/>
          <w:lang w:val="es-MX"/>
        </w:rPr>
        <w:t>ina falcata</w:t>
      </w:r>
      <w:r w:rsidR="00F91832" w:rsidRPr="00681795">
        <w:rPr>
          <w:rFonts w:cs="Times New Roman"/>
          <w:sz w:val="22"/>
          <w:lang w:val="es-MX"/>
        </w:rPr>
        <w:t xml:space="preserve">, </w:t>
      </w:r>
      <w:r w:rsidR="00F91832" w:rsidRPr="00681795">
        <w:rPr>
          <w:rFonts w:cs="Times New Roman"/>
          <w:i/>
          <w:sz w:val="22"/>
          <w:lang w:val="es-MX"/>
        </w:rPr>
        <w:t>Prosopis alba</w:t>
      </w:r>
      <w:r w:rsidR="00F91832">
        <w:rPr>
          <w:rFonts w:cs="Times New Roman"/>
          <w:sz w:val="22"/>
        </w:rPr>
        <w:t>).</w:t>
      </w:r>
      <w:r w:rsidR="00F91832" w:rsidRPr="00681795">
        <w:rPr>
          <w:rFonts w:cs="Times New Roman"/>
          <w:sz w:val="22"/>
        </w:rPr>
        <w:t xml:space="preserve"> En</w:t>
      </w:r>
      <w:r w:rsidR="00F91832">
        <w:rPr>
          <w:rFonts w:cs="Times New Roman"/>
          <w:sz w:val="22"/>
        </w:rPr>
        <w:t xml:space="preserve"> invernadero se evaluaron quince</w:t>
      </w:r>
      <w:r w:rsidR="00F91832" w:rsidRPr="00681795">
        <w:rPr>
          <w:rFonts w:cs="Times New Roman"/>
          <w:sz w:val="22"/>
        </w:rPr>
        <w:t xml:space="preserve"> cepas  aisladas, un testigo comercial y un testigo absoluto en combinación con roca fosfórica (RF) en plantines de </w:t>
      </w:r>
      <w:r w:rsidR="00F91832" w:rsidRPr="00681795">
        <w:rPr>
          <w:rFonts w:cs="Times New Roman"/>
          <w:i/>
          <w:sz w:val="22"/>
        </w:rPr>
        <w:t>Jacaranda mimosifolia</w:t>
      </w:r>
      <w:r w:rsidR="00F91832" w:rsidRPr="00681795">
        <w:rPr>
          <w:rFonts w:cs="Times New Roman"/>
          <w:sz w:val="22"/>
        </w:rPr>
        <w:t>, bajo un diseño completamente aleatorio</w:t>
      </w:r>
      <w:r w:rsidR="00F91832" w:rsidRPr="00681795">
        <w:rPr>
          <w:rFonts w:cs="Times New Roman"/>
          <w:bCs/>
          <w:sz w:val="22"/>
          <w:shd w:val="clear" w:color="auto" w:fill="FFFFFF"/>
        </w:rPr>
        <w:t xml:space="preserve"> </w:t>
      </w:r>
      <w:r w:rsidR="00F91832" w:rsidRPr="00681795">
        <w:rPr>
          <w:rFonts w:cs="Times New Roman"/>
          <w:sz w:val="22"/>
        </w:rPr>
        <w:t>(DCA)</w:t>
      </w:r>
      <w:r w:rsidR="00F91832" w:rsidRPr="00681795">
        <w:rPr>
          <w:rFonts w:cs="Times New Roman"/>
          <w:bCs/>
          <w:sz w:val="22"/>
          <w:shd w:val="clear" w:color="auto" w:fill="FFFFFF"/>
        </w:rPr>
        <w:t>.</w:t>
      </w:r>
      <w:r w:rsidR="00F91832" w:rsidRPr="00681795">
        <w:rPr>
          <w:rFonts w:cs="Times New Roman"/>
          <w:sz w:val="22"/>
        </w:rPr>
        <w:t xml:space="preserve"> Se encontró 8 cepas con la c</w:t>
      </w:r>
      <w:r w:rsidR="00F91832">
        <w:rPr>
          <w:rFonts w:cs="Times New Roman"/>
          <w:sz w:val="22"/>
        </w:rPr>
        <w:t>apacidad de solubilizar fósforo</w:t>
      </w:r>
      <w:r w:rsidR="00F91832" w:rsidRPr="00681795">
        <w:rPr>
          <w:rFonts w:cs="Times New Roman"/>
          <w:sz w:val="22"/>
        </w:rPr>
        <w:t xml:space="preserve"> (FB1, FB4, FB5, FB6, FB7, FB10, FB12, FB13). La </w:t>
      </w:r>
      <w:r w:rsidR="00F91832">
        <w:rPr>
          <w:rFonts w:cs="Times New Roman"/>
          <w:sz w:val="22"/>
        </w:rPr>
        <w:t xml:space="preserve">interacción </w:t>
      </w:r>
      <w:r w:rsidR="00F91832" w:rsidRPr="00681795">
        <w:rPr>
          <w:rFonts w:cs="Times New Roman"/>
          <w:sz w:val="22"/>
        </w:rPr>
        <w:t>de roca fosfórica</w:t>
      </w:r>
      <w:r w:rsidR="00F91832">
        <w:rPr>
          <w:rFonts w:cs="Times New Roman"/>
          <w:sz w:val="22"/>
        </w:rPr>
        <w:t xml:space="preserve"> </w:t>
      </w:r>
      <w:r w:rsidR="00F91832" w:rsidRPr="00681795">
        <w:rPr>
          <w:rFonts w:cs="Times New Roman"/>
          <w:sz w:val="22"/>
        </w:rPr>
        <w:t xml:space="preserve">con las cepas bacterianas tuvo un </w:t>
      </w:r>
      <w:r w:rsidR="00F91832">
        <w:rPr>
          <w:rFonts w:cs="Times New Roman"/>
          <w:sz w:val="22"/>
        </w:rPr>
        <w:t xml:space="preserve">efecto significativo </w:t>
      </w:r>
      <w:r w:rsidR="00F91832" w:rsidRPr="00681795">
        <w:rPr>
          <w:rFonts w:cs="Times New Roman"/>
          <w:sz w:val="22"/>
        </w:rPr>
        <w:t>en las variables de respuesta. Por otra parte la cepa FB12 se most</w:t>
      </w:r>
      <w:r w:rsidR="00F91832">
        <w:rPr>
          <w:rFonts w:cs="Times New Roman"/>
          <w:sz w:val="22"/>
        </w:rPr>
        <w:t>ró</w:t>
      </w:r>
      <w:r w:rsidR="00F91832" w:rsidRPr="00681795">
        <w:rPr>
          <w:rFonts w:cs="Times New Roman"/>
          <w:sz w:val="22"/>
        </w:rPr>
        <w:t xml:space="preserve"> sobresaliente, superando al testigo comercial. Por tanto</w:t>
      </w:r>
      <w:r w:rsidR="00F91832">
        <w:rPr>
          <w:rFonts w:cs="Times New Roman"/>
          <w:sz w:val="22"/>
        </w:rPr>
        <w:t>,</w:t>
      </w:r>
      <w:r w:rsidR="00F91832" w:rsidRPr="00681795">
        <w:rPr>
          <w:rFonts w:cs="Times New Roman"/>
          <w:sz w:val="22"/>
        </w:rPr>
        <w:t xml:space="preserve"> es recomendable el uso de bacterias solubilizadoras de fósforo (BSF) para elevar la disponibilidad de</w:t>
      </w:r>
      <w:r w:rsidR="00F91832">
        <w:rPr>
          <w:rFonts w:cs="Times New Roman"/>
          <w:sz w:val="22"/>
        </w:rPr>
        <w:t xml:space="preserve"> P de</w:t>
      </w:r>
      <w:r w:rsidR="00F91832" w:rsidRPr="00681795">
        <w:rPr>
          <w:rFonts w:cs="Times New Roman"/>
          <w:sz w:val="22"/>
        </w:rPr>
        <w:t xml:space="preserve"> </w:t>
      </w:r>
      <w:r w:rsidR="00F91832">
        <w:rPr>
          <w:rFonts w:cs="Times New Roman"/>
          <w:sz w:val="22"/>
        </w:rPr>
        <w:t>la roca fosfó</w:t>
      </w:r>
      <w:r w:rsidR="00F91832" w:rsidRPr="00681795">
        <w:rPr>
          <w:rFonts w:cs="Times New Roman"/>
          <w:sz w:val="22"/>
        </w:rPr>
        <w:t>rica.</w:t>
      </w:r>
    </w:p>
    <w:p w:rsidR="00F91832" w:rsidRPr="00B313F3" w:rsidRDefault="00F91832" w:rsidP="00F91832">
      <w:pPr>
        <w:spacing w:line="360" w:lineRule="auto"/>
        <w:jc w:val="both"/>
        <w:rPr>
          <w:rFonts w:cs="Times New Roman"/>
          <w:sz w:val="22"/>
        </w:rPr>
      </w:pPr>
      <w:r w:rsidRPr="00B313F3">
        <w:rPr>
          <w:rFonts w:cs="Times New Roman"/>
          <w:b/>
          <w:i/>
          <w:sz w:val="22"/>
        </w:rPr>
        <w:t>Palabras claves:</w:t>
      </w:r>
      <w:r w:rsidRPr="00681795">
        <w:rPr>
          <w:rFonts w:cs="Times New Roman"/>
          <w:sz w:val="22"/>
        </w:rPr>
        <w:t xml:space="preserve"> </w:t>
      </w:r>
      <w:r w:rsidRPr="00B313F3">
        <w:rPr>
          <w:rFonts w:cs="Times New Roman"/>
          <w:sz w:val="22"/>
        </w:rPr>
        <w:t>Bacterias; Roca fosfórica (RF); Microorganismos; Bacillus spp.</w:t>
      </w:r>
    </w:p>
    <w:p w:rsidR="00F91832" w:rsidRPr="00681795" w:rsidRDefault="00F91832" w:rsidP="00F9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cs="Times New Roman"/>
          <w:b/>
          <w:sz w:val="22"/>
          <w:lang w:val="en" w:eastAsia="es-BO"/>
        </w:rPr>
      </w:pPr>
      <w:r>
        <w:rPr>
          <w:rFonts w:eastAsia="Times New Roman" w:cs="Times New Roman"/>
          <w:b/>
          <w:sz w:val="22"/>
          <w:lang w:val="en" w:eastAsia="es-BO"/>
        </w:rPr>
        <w:t>Abstract</w:t>
      </w:r>
    </w:p>
    <w:p w:rsidR="00F91832" w:rsidRPr="00816787" w:rsidRDefault="00F91832" w:rsidP="00F9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color w:val="202124"/>
          <w:sz w:val="22"/>
          <w:lang w:val="en" w:eastAsia="es-BO"/>
        </w:rPr>
      </w:pPr>
      <w:r w:rsidRPr="00816787">
        <w:rPr>
          <w:rFonts w:eastAsia="Times New Roman" w:cs="Times New Roman"/>
          <w:b/>
          <w:color w:val="202124"/>
          <w:sz w:val="22"/>
          <w:lang w:val="en" w:eastAsia="es-BO"/>
        </w:rPr>
        <w:t xml:space="preserve">Isolation and Selection of Phosphorus-Solubilizing Endophytic Bacteria from </w:t>
      </w:r>
      <w:r w:rsidRPr="00816787">
        <w:rPr>
          <w:rFonts w:eastAsia="Times New Roman" w:cs="Times New Roman"/>
          <w:b/>
          <w:i/>
          <w:color w:val="202124"/>
          <w:sz w:val="22"/>
          <w:lang w:val="en" w:eastAsia="es-BO"/>
        </w:rPr>
        <w:t>Schinus molle, Erythrina falcata</w:t>
      </w:r>
      <w:r w:rsidRPr="00816787">
        <w:rPr>
          <w:rFonts w:eastAsia="Times New Roman" w:cs="Times New Roman"/>
          <w:b/>
          <w:color w:val="202124"/>
          <w:sz w:val="22"/>
          <w:lang w:val="en" w:eastAsia="es-BO"/>
        </w:rPr>
        <w:t xml:space="preserve"> and </w:t>
      </w:r>
      <w:r w:rsidRPr="00816787">
        <w:rPr>
          <w:rFonts w:eastAsia="Times New Roman" w:cs="Times New Roman"/>
          <w:b/>
          <w:i/>
          <w:color w:val="202124"/>
          <w:sz w:val="22"/>
          <w:lang w:val="en" w:eastAsia="es-BO"/>
        </w:rPr>
        <w:t>Prosopis alba.</w:t>
      </w:r>
      <w:r w:rsidRPr="00816787">
        <w:rPr>
          <w:rFonts w:eastAsia="Times New Roman" w:cs="Times New Roman"/>
          <w:i/>
          <w:color w:val="202124"/>
          <w:sz w:val="22"/>
          <w:lang w:val="en" w:eastAsia="es-BO"/>
        </w:rPr>
        <w:t xml:space="preserve"> </w:t>
      </w:r>
      <w:r w:rsidRPr="00816787">
        <w:rPr>
          <w:rFonts w:eastAsia="Times New Roman" w:cs="Times New Roman"/>
          <w:color w:val="202124"/>
          <w:sz w:val="22"/>
          <w:lang w:val="en" w:eastAsia="es-BO"/>
        </w:rPr>
        <w:t xml:space="preserve">Phosphorus (P) is an essential element for the growth and development of plants, it is found in low availability in the soil. For this reason, alternatives are sought, such as the use of microorganisms. In this work, the isolation and selection of phosphorus solubilizing </w:t>
      </w:r>
      <w:r w:rsidRPr="00816787">
        <w:rPr>
          <w:rFonts w:eastAsia="Times New Roman" w:cs="Times New Roman"/>
          <w:i/>
          <w:color w:val="202124"/>
          <w:sz w:val="22"/>
          <w:lang w:val="en" w:eastAsia="es-BO"/>
        </w:rPr>
        <w:t>Bacillus</w:t>
      </w:r>
      <w:r w:rsidRPr="00816787">
        <w:rPr>
          <w:rFonts w:eastAsia="Times New Roman" w:cs="Times New Roman"/>
          <w:color w:val="202124"/>
          <w:sz w:val="22"/>
          <w:lang w:val="en" w:eastAsia="es-BO"/>
        </w:rPr>
        <w:t>-type endophytic bacteria was carried out from root segments of three native forest species (</w:t>
      </w:r>
      <w:r w:rsidRPr="00816787">
        <w:rPr>
          <w:rFonts w:eastAsia="Times New Roman" w:cs="Times New Roman"/>
          <w:i/>
          <w:color w:val="202124"/>
          <w:sz w:val="22"/>
          <w:lang w:val="en" w:eastAsia="es-BO"/>
        </w:rPr>
        <w:t>Schinus molle</w:t>
      </w:r>
      <w:r w:rsidRPr="00816787">
        <w:rPr>
          <w:rFonts w:eastAsia="Times New Roman" w:cs="Times New Roman"/>
          <w:color w:val="202124"/>
          <w:sz w:val="22"/>
          <w:lang w:val="en" w:eastAsia="es-BO"/>
        </w:rPr>
        <w:t xml:space="preserve">, </w:t>
      </w:r>
      <w:r w:rsidRPr="00816787">
        <w:rPr>
          <w:rFonts w:eastAsia="Times New Roman" w:cs="Times New Roman"/>
          <w:i/>
          <w:color w:val="202124"/>
          <w:sz w:val="22"/>
          <w:lang w:val="en" w:eastAsia="es-BO"/>
        </w:rPr>
        <w:t>Erythrina falcata</w:t>
      </w:r>
      <w:r w:rsidRPr="00816787">
        <w:rPr>
          <w:rFonts w:eastAsia="Times New Roman" w:cs="Times New Roman"/>
          <w:color w:val="202124"/>
          <w:sz w:val="22"/>
          <w:lang w:val="en" w:eastAsia="es-BO"/>
        </w:rPr>
        <w:t xml:space="preserve">, </w:t>
      </w:r>
      <w:r w:rsidRPr="00816787">
        <w:rPr>
          <w:rFonts w:eastAsia="Times New Roman" w:cs="Times New Roman"/>
          <w:i/>
          <w:color w:val="202124"/>
          <w:sz w:val="22"/>
          <w:lang w:val="en" w:eastAsia="es-BO"/>
        </w:rPr>
        <w:t>Prosopis alba</w:t>
      </w:r>
      <w:r w:rsidRPr="00816787">
        <w:rPr>
          <w:rFonts w:eastAsia="Times New Roman" w:cs="Times New Roman"/>
          <w:color w:val="202124"/>
          <w:sz w:val="22"/>
          <w:lang w:val="en" w:eastAsia="es-BO"/>
        </w:rPr>
        <w:t xml:space="preserve">). In the greenhouse, isolated quinces, a commercial control and an absolute control were evaluated in combination with phosphate rock (PR) in </w:t>
      </w:r>
      <w:r w:rsidRPr="00816787">
        <w:rPr>
          <w:rFonts w:eastAsia="Times New Roman" w:cs="Times New Roman"/>
          <w:i/>
          <w:color w:val="202124"/>
          <w:sz w:val="22"/>
          <w:lang w:val="en" w:eastAsia="es-BO"/>
        </w:rPr>
        <w:t xml:space="preserve">Jacaranda mimosifolia </w:t>
      </w:r>
      <w:r w:rsidRPr="00816787">
        <w:rPr>
          <w:rFonts w:eastAsia="Times New Roman" w:cs="Times New Roman"/>
          <w:color w:val="202124"/>
          <w:sz w:val="22"/>
          <w:lang w:val="en" w:eastAsia="es-BO"/>
        </w:rPr>
        <w:t>seedlings, under a completely randomized design (DCA). Eight strains with the ability to solubilize phosphorus were found (FB1, FB4, FB5, FB6, FB7, FB10, FB12, FB13). The interaction of phosphate rock with the bacterial strains had a significant effect on the response variables. On the other hand, the FB12 strain was outstanding, surpassing the commercial control. Therefore, the use of phosphorus-solubilizing bacteria (PSB) is recommended to increase the availability of P from PR.</w:t>
      </w:r>
    </w:p>
    <w:p w:rsidR="002E45F6" w:rsidRPr="00FB06B0" w:rsidRDefault="00EE5ED4" w:rsidP="00FB0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202124"/>
          <w:sz w:val="22"/>
          <w:lang w:val="en" w:eastAsia="es-BO"/>
        </w:rPr>
        <w:sectPr w:rsidR="002E45F6" w:rsidRPr="00FB06B0" w:rsidSect="004A0ADA">
          <w:headerReference w:type="default" r:id="rId11"/>
          <w:pgSz w:w="12240" w:h="15840" w:code="1"/>
          <w:pgMar w:top="1418" w:right="1418" w:bottom="1418" w:left="1418" w:header="709" w:footer="709" w:gutter="0"/>
          <w:cols w:space="708"/>
          <w:docGrid w:linePitch="360"/>
        </w:sectPr>
      </w:pPr>
      <w:r w:rsidRPr="00681795">
        <w:rPr>
          <w:rFonts w:eastAsia="Times New Roman" w:cs="Times New Roman"/>
          <w:b/>
          <w:i/>
          <w:color w:val="202124"/>
          <w:sz w:val="22"/>
          <w:lang w:val="en" w:eastAsia="es-BO"/>
        </w:rPr>
        <w:t xml:space="preserve">Keywords: </w:t>
      </w:r>
      <w:r w:rsidR="004E344C">
        <w:rPr>
          <w:rFonts w:eastAsia="Times New Roman" w:cs="Times New Roman"/>
          <w:color w:val="202124"/>
          <w:sz w:val="22"/>
          <w:lang w:val="en" w:eastAsia="es-BO"/>
        </w:rPr>
        <w:t>B</w:t>
      </w:r>
      <w:r w:rsidR="004E344C" w:rsidRPr="004E344C">
        <w:rPr>
          <w:rFonts w:eastAsia="Times New Roman" w:cs="Times New Roman"/>
          <w:color w:val="202124"/>
          <w:sz w:val="22"/>
          <w:lang w:val="en" w:eastAsia="es-BO"/>
        </w:rPr>
        <w:t xml:space="preserve">acteria; Rock Phosphate (RF); Microorganisms; </w:t>
      </w:r>
      <w:r w:rsidR="00CD6E7C">
        <w:rPr>
          <w:rFonts w:eastAsia="Times New Roman" w:cs="Times New Roman"/>
          <w:i/>
          <w:color w:val="202124"/>
          <w:sz w:val="22"/>
          <w:lang w:val="en" w:eastAsia="es-BO"/>
        </w:rPr>
        <w:t>Bacillus sp.</w:t>
      </w:r>
    </w:p>
    <w:p w:rsidR="000D32CC" w:rsidRPr="00580136" w:rsidRDefault="00CD6E7C" w:rsidP="00CD6E7C">
      <w:pPr>
        <w:pStyle w:val="Prrafodelista"/>
        <w:numPr>
          <w:ilvl w:val="0"/>
          <w:numId w:val="4"/>
        </w:numPr>
        <w:spacing w:after="0" w:line="240" w:lineRule="auto"/>
        <w:jc w:val="center"/>
        <w:rPr>
          <w:rFonts w:cs="Times New Roman"/>
          <w:b/>
          <w:szCs w:val="24"/>
        </w:rPr>
      </w:pPr>
      <w:r w:rsidRPr="00580136">
        <w:rPr>
          <w:rFonts w:cs="Times New Roman"/>
          <w:b/>
          <w:szCs w:val="24"/>
        </w:rPr>
        <w:lastRenderedPageBreak/>
        <w:t>INTRODUCCIÓN</w:t>
      </w:r>
    </w:p>
    <w:p w:rsidR="00ED5A43" w:rsidRPr="00922E50" w:rsidRDefault="00ED5A43" w:rsidP="00CD6E7C">
      <w:pPr>
        <w:spacing w:after="0" w:line="360" w:lineRule="auto"/>
        <w:jc w:val="both"/>
        <w:rPr>
          <w:rFonts w:cs="Times New Roman"/>
          <w:sz w:val="22"/>
        </w:rPr>
      </w:pPr>
      <w:r w:rsidRPr="00922E50">
        <w:rPr>
          <w:rFonts w:cs="Times New Roman"/>
          <w:sz w:val="22"/>
        </w:rPr>
        <w:t xml:space="preserve">La agricultura bajo el modelo de producción convencional resulta cada día menos sostenible, afectando la parte ambiental, económica y social de las zonas y regiones donde se practica. El uso indiscriminado de plaguicidas y fertilizantes químicos, sumado a la labranza inadecuada y la expansión de la frontera agrícola, ha generado desgaste en los ecosistemas (Barquero </w:t>
      </w:r>
      <w:r w:rsidRPr="00CD6E7C">
        <w:rPr>
          <w:rFonts w:cs="Times New Roman"/>
          <w:sz w:val="22"/>
        </w:rPr>
        <w:t>et al.</w:t>
      </w:r>
      <w:r w:rsidRPr="00922E50">
        <w:rPr>
          <w:rFonts w:cs="Times New Roman"/>
          <w:sz w:val="22"/>
        </w:rPr>
        <w:t xml:space="preserve"> 2007).</w:t>
      </w:r>
    </w:p>
    <w:p w:rsidR="00ED5A43" w:rsidRPr="00922E50" w:rsidRDefault="00ED5A43" w:rsidP="00CD6E7C">
      <w:pPr>
        <w:spacing w:after="0" w:line="360" w:lineRule="auto"/>
        <w:jc w:val="both"/>
        <w:rPr>
          <w:rFonts w:cs="Times New Roman"/>
          <w:color w:val="000000"/>
          <w:sz w:val="22"/>
          <w:shd w:val="clear" w:color="auto" w:fill="FFFFFF"/>
        </w:rPr>
      </w:pPr>
      <w:r w:rsidRPr="00922E50">
        <w:rPr>
          <w:rFonts w:cs="Times New Roman"/>
          <w:color w:val="000000"/>
          <w:sz w:val="22"/>
          <w:shd w:val="clear" w:color="auto" w:fill="FFFFFF"/>
        </w:rPr>
        <w:t>La erosión de los suelos es un proceso de degradación muy extendido en la zona andina y valles de Bolivia. Según el Programa Nacional de Lucha contra la Desertificación (PRONALDES) (1996), 85.6 % de la superficie de esta región es</w:t>
      </w:r>
      <w:r w:rsidR="000D32CC">
        <w:rPr>
          <w:rFonts w:cs="Times New Roman"/>
          <w:color w:val="000000"/>
          <w:sz w:val="22"/>
          <w:shd w:val="clear" w:color="auto" w:fill="FFFFFF"/>
        </w:rPr>
        <w:t>tá afectada</w:t>
      </w:r>
      <w:r w:rsidRPr="00922E50">
        <w:rPr>
          <w:rFonts w:cs="Times New Roman"/>
          <w:color w:val="000000"/>
          <w:sz w:val="22"/>
          <w:shd w:val="clear" w:color="auto" w:fill="FFFFFF"/>
        </w:rPr>
        <w:t xml:space="preserve"> en algún grado.</w:t>
      </w:r>
    </w:p>
    <w:p w:rsidR="00ED5A43" w:rsidRPr="00922E50" w:rsidRDefault="00ED5A43" w:rsidP="00CD6E7C">
      <w:pPr>
        <w:spacing w:after="0" w:line="360" w:lineRule="auto"/>
        <w:jc w:val="both"/>
        <w:rPr>
          <w:rFonts w:cs="Times New Roman"/>
          <w:sz w:val="22"/>
        </w:rPr>
      </w:pPr>
      <w:r w:rsidRPr="00922E50">
        <w:rPr>
          <w:rFonts w:cs="Times New Roman"/>
          <w:color w:val="000000"/>
          <w:sz w:val="22"/>
          <w:shd w:val="clear" w:color="auto" w:fill="FFFFFF"/>
        </w:rPr>
        <w:t xml:space="preserve">En las especies forestales, como en cualquier otro cultivo, la fertilización juega un rol fundamental en el desarrollo, crecimiento y producción. </w:t>
      </w:r>
      <w:r w:rsidRPr="00922E50">
        <w:rPr>
          <w:rFonts w:cs="Times New Roman"/>
          <w:sz w:val="22"/>
        </w:rPr>
        <w:t>Al respecto, se han realizado diversos estudios con la finalidad de conocer la influencia de la fertilización en el crecimiento y desarrollo de las especies forestales</w:t>
      </w:r>
      <w:r w:rsidR="00580136">
        <w:rPr>
          <w:rFonts w:cs="Times New Roman"/>
          <w:sz w:val="22"/>
        </w:rPr>
        <w:t>,</w:t>
      </w:r>
      <w:r w:rsidR="00CE0793">
        <w:rPr>
          <w:rFonts w:cs="Times New Roman"/>
          <w:sz w:val="22"/>
        </w:rPr>
        <w:t xml:space="preserve"> </w:t>
      </w:r>
      <w:r w:rsidR="00580136">
        <w:rPr>
          <w:rFonts w:cs="Times New Roman"/>
          <w:sz w:val="22"/>
        </w:rPr>
        <w:t>a</w:t>
      </w:r>
      <w:r w:rsidRPr="00922E50">
        <w:rPr>
          <w:rFonts w:cs="Times New Roman"/>
          <w:sz w:val="22"/>
        </w:rPr>
        <w:t xml:space="preserve">lgunos de estos estudios se han enfocado a mejorar las características de las plantas que les permitan tener un mejor desarrollo en campo al momento del trasplante </w:t>
      </w:r>
      <w:r w:rsidRPr="00922E50">
        <w:rPr>
          <w:rFonts w:cs="Times New Roman"/>
          <w:color w:val="000000"/>
          <w:sz w:val="22"/>
          <w:shd w:val="clear" w:color="auto" w:fill="FFFFFF"/>
        </w:rPr>
        <w:t>(</w:t>
      </w:r>
      <w:r w:rsidRPr="00922E50">
        <w:rPr>
          <w:rFonts w:cs="Times New Roman"/>
          <w:color w:val="000000"/>
          <w:sz w:val="22"/>
        </w:rPr>
        <w:t xml:space="preserve">Lázaro-Dzul  </w:t>
      </w:r>
      <w:r w:rsidRPr="00CD6E7C">
        <w:rPr>
          <w:rFonts w:cs="Times New Roman"/>
          <w:iCs/>
          <w:color w:val="000000"/>
          <w:sz w:val="22"/>
        </w:rPr>
        <w:t>et al.</w:t>
      </w:r>
      <w:r w:rsidRPr="00922E50">
        <w:rPr>
          <w:rFonts w:cs="Times New Roman"/>
          <w:color w:val="000000"/>
          <w:sz w:val="22"/>
        </w:rPr>
        <w:t xml:space="preserve"> 2012).</w:t>
      </w:r>
    </w:p>
    <w:p w:rsidR="00ED5A43" w:rsidRPr="00922E50" w:rsidRDefault="00ED5A43" w:rsidP="00CD6E7C">
      <w:pPr>
        <w:spacing w:after="0" w:line="360" w:lineRule="auto"/>
        <w:jc w:val="both"/>
        <w:rPr>
          <w:rFonts w:cs="Times New Roman"/>
          <w:color w:val="000000"/>
          <w:sz w:val="22"/>
          <w:shd w:val="clear" w:color="auto" w:fill="FFFFFF"/>
        </w:rPr>
      </w:pPr>
      <w:r w:rsidRPr="00922E50">
        <w:rPr>
          <w:rFonts w:cs="Times New Roman"/>
          <w:color w:val="000000"/>
          <w:sz w:val="22"/>
          <w:shd w:val="clear" w:color="auto" w:fill="FFFFFF"/>
        </w:rPr>
        <w:t xml:space="preserve">El fósforo es uno de los nutrientes más limitantes en el crecimiento de las plantas, debido a que una gran porción de fosfatos inorgánicos, aplicados al suelo como fertilizantes, son inmovilizados después de su aplicación, lo cual impide el aprovechamiento de este elemento </w:t>
      </w:r>
      <w:r w:rsidRPr="00922E50">
        <w:rPr>
          <w:rFonts w:cs="Times New Roman"/>
          <w:color w:val="777777"/>
          <w:sz w:val="22"/>
          <w:shd w:val="clear" w:color="auto" w:fill="FFFFFF"/>
        </w:rPr>
        <w:t>(</w:t>
      </w:r>
      <w:r w:rsidRPr="00922E50">
        <w:rPr>
          <w:rFonts w:cs="Times New Roman"/>
          <w:sz w:val="22"/>
        </w:rPr>
        <w:t>Rengel y Marschner, 2005</w:t>
      </w:r>
      <w:r w:rsidRPr="00922E50">
        <w:rPr>
          <w:rFonts w:cs="Times New Roman"/>
          <w:color w:val="777777"/>
          <w:sz w:val="22"/>
        </w:rPr>
        <w:t>)</w:t>
      </w:r>
      <w:r w:rsidRPr="00922E50">
        <w:rPr>
          <w:rFonts w:cs="Times New Roman"/>
          <w:color w:val="000000"/>
          <w:sz w:val="22"/>
          <w:shd w:val="clear" w:color="auto" w:fill="FFFFFF"/>
        </w:rPr>
        <w:t xml:space="preserve">. </w:t>
      </w:r>
    </w:p>
    <w:p w:rsidR="00ED5A43" w:rsidRPr="00922E50" w:rsidRDefault="00ED5A43" w:rsidP="00CD6E7C">
      <w:pPr>
        <w:spacing w:after="0" w:line="360" w:lineRule="auto"/>
        <w:jc w:val="both"/>
        <w:rPr>
          <w:rFonts w:cs="Times New Roman"/>
          <w:sz w:val="22"/>
        </w:rPr>
      </w:pPr>
      <w:r w:rsidRPr="00922E50">
        <w:rPr>
          <w:rFonts w:cs="Times New Roman"/>
          <w:color w:val="000000"/>
          <w:sz w:val="22"/>
          <w:shd w:val="clear" w:color="auto" w:fill="FFFFFF"/>
        </w:rPr>
        <w:lastRenderedPageBreak/>
        <w:t xml:space="preserve">Dentro de las funciones que le han sido atribuidas se encuentran la captación, almacenamiento y transferencia de energía, además de formar parte de macromoléculas tales como ácidos nucleicos y fosfolípidos presentes en la membrana citoplasmática. </w:t>
      </w:r>
      <w:r w:rsidR="000D32CC">
        <w:rPr>
          <w:rFonts w:cs="Times New Roman"/>
          <w:sz w:val="22"/>
        </w:rPr>
        <w:t xml:space="preserve">La deficiencia de P </w:t>
      </w:r>
      <w:r w:rsidRPr="00922E50">
        <w:rPr>
          <w:rFonts w:cs="Times New Roman"/>
          <w:sz w:val="22"/>
        </w:rPr>
        <w:t>es superada normalmente con la aplicación de fertilizantes fosfóricos de síntesis química, alternativa que pese a su e</w:t>
      </w:r>
      <w:r w:rsidR="00D323D6">
        <w:rPr>
          <w:rFonts w:cs="Times New Roman"/>
          <w:sz w:val="22"/>
        </w:rPr>
        <w:t xml:space="preserve">ficiencia implica </w:t>
      </w:r>
      <w:r w:rsidRPr="00922E50">
        <w:rPr>
          <w:rFonts w:cs="Times New Roman"/>
          <w:sz w:val="22"/>
        </w:rPr>
        <w:t xml:space="preserve">varios problemas: a) altos costos energéticos y económicos, b) muy baja eficiencia (5-30%), c) acumulación crónica de fosfatos en el ambiente, y d) escasez global de roca fosfórica, insumo esencial para la producción de fertilizantes fosfóricos </w:t>
      </w:r>
      <w:r w:rsidRPr="00922E50">
        <w:rPr>
          <w:rFonts w:cs="Times New Roman"/>
          <w:color w:val="000000"/>
          <w:sz w:val="22"/>
          <w:shd w:val="clear" w:color="auto" w:fill="FFFFFF"/>
        </w:rPr>
        <w:t>(Patiño y Sanclemente, 2014). Es por ello que en la actualidad se ha venido proponiendo el uso de bacterias solubilizadoras de fósforo (BSF), las cuales actúan a través de la producción de enzimas y ácidos orgánicos que permiten solubilizar el fósforo y a la vez actúan como promotores de crecimiento (Bobadilla y Rincon, 2008)</w:t>
      </w:r>
      <w:r w:rsidR="00CD6E7C">
        <w:rPr>
          <w:rFonts w:cs="Times New Roman"/>
          <w:color w:val="000000"/>
          <w:sz w:val="22"/>
          <w:shd w:val="clear" w:color="auto" w:fill="FFFFFF"/>
        </w:rPr>
        <w:t>.</w:t>
      </w:r>
    </w:p>
    <w:p w:rsidR="00CD6E7C" w:rsidRPr="00580136" w:rsidRDefault="00ED5A43" w:rsidP="00580136">
      <w:pPr>
        <w:spacing w:after="0" w:line="360" w:lineRule="auto"/>
        <w:jc w:val="both"/>
        <w:rPr>
          <w:rFonts w:cs="Times New Roman"/>
          <w:sz w:val="22"/>
        </w:rPr>
      </w:pPr>
      <w:r w:rsidRPr="00922E50">
        <w:rPr>
          <w:rFonts w:cs="Times New Roman"/>
          <w:sz w:val="22"/>
        </w:rPr>
        <w:t xml:space="preserve">Las bacterias del género </w:t>
      </w:r>
      <w:r w:rsidRPr="00922E50">
        <w:rPr>
          <w:rFonts w:cs="Times New Roman"/>
          <w:i/>
          <w:iCs/>
          <w:sz w:val="22"/>
        </w:rPr>
        <w:t>Bacillus</w:t>
      </w:r>
      <w:r w:rsidRPr="00922E50">
        <w:rPr>
          <w:rFonts w:cs="Times New Roman"/>
          <w:sz w:val="22"/>
        </w:rPr>
        <w:t xml:space="preserve"> se encuentran ampliamente di</w:t>
      </w:r>
      <w:r w:rsidR="000D32CC">
        <w:rPr>
          <w:rFonts w:cs="Times New Roman"/>
          <w:sz w:val="22"/>
        </w:rPr>
        <w:t xml:space="preserve">stribuidas en diversos hábitats, </w:t>
      </w:r>
      <w:r w:rsidRPr="00922E50">
        <w:rPr>
          <w:rFonts w:cs="Times New Roman"/>
          <w:sz w:val="22"/>
        </w:rPr>
        <w:t>sus especies están muchas veces aso</w:t>
      </w:r>
      <w:r w:rsidR="00D323D6">
        <w:rPr>
          <w:rFonts w:cs="Times New Roman"/>
          <w:sz w:val="22"/>
        </w:rPr>
        <w:t xml:space="preserve">ciadas a plantas. </w:t>
      </w:r>
      <w:r w:rsidR="000D32CC">
        <w:rPr>
          <w:rFonts w:cs="Times New Roman"/>
          <w:sz w:val="22"/>
        </w:rPr>
        <w:t>En este</w:t>
      </w:r>
      <w:r w:rsidRPr="00922E50">
        <w:rPr>
          <w:rFonts w:cs="Times New Roman"/>
          <w:sz w:val="22"/>
        </w:rPr>
        <w:t xml:space="preserve"> caso, se han demostrado las potencialidades de las especies del género </w:t>
      </w:r>
      <w:r w:rsidRPr="00922E50">
        <w:rPr>
          <w:rFonts w:cs="Times New Roman"/>
          <w:i/>
          <w:iCs/>
          <w:sz w:val="22"/>
        </w:rPr>
        <w:t>Bacillus</w:t>
      </w:r>
      <w:r w:rsidRPr="00922E50">
        <w:rPr>
          <w:rFonts w:cs="Times New Roman"/>
          <w:sz w:val="22"/>
        </w:rPr>
        <w:t xml:space="preserve"> para la producción de antibióticos, enzimas, la solubilización de fosfatos y la fijación biológica del Nitrógeno (Chen  </w:t>
      </w:r>
      <w:r w:rsidRPr="00CD6E7C">
        <w:rPr>
          <w:rFonts w:cs="Times New Roman"/>
          <w:iCs/>
          <w:sz w:val="22"/>
        </w:rPr>
        <w:t>et al</w:t>
      </w:r>
      <w:r w:rsidRPr="00CD6E7C">
        <w:rPr>
          <w:rFonts w:cs="Times New Roman"/>
          <w:sz w:val="22"/>
        </w:rPr>
        <w:t>.</w:t>
      </w:r>
      <w:r w:rsidRPr="00922E50">
        <w:rPr>
          <w:rFonts w:cs="Times New Roman"/>
          <w:sz w:val="22"/>
        </w:rPr>
        <w:t xml:space="preserve"> 2006</w:t>
      </w:r>
      <w:r w:rsidRPr="00922E50">
        <w:rPr>
          <w:rFonts w:cs="Times New Roman"/>
          <w:color w:val="000000"/>
          <w:sz w:val="22"/>
        </w:rPr>
        <w:t>)</w:t>
      </w:r>
      <w:r w:rsidRPr="00922E50">
        <w:rPr>
          <w:rFonts w:cs="Times New Roman"/>
          <w:sz w:val="22"/>
        </w:rPr>
        <w:t>.</w:t>
      </w:r>
      <w:r w:rsidR="00CD6E7C">
        <w:rPr>
          <w:rFonts w:cs="Times New Roman"/>
          <w:sz w:val="22"/>
        </w:rPr>
        <w:t xml:space="preserve"> </w:t>
      </w:r>
      <w:r w:rsidRPr="00922E50">
        <w:rPr>
          <w:rFonts w:cs="Times New Roman"/>
          <w:sz w:val="22"/>
        </w:rPr>
        <w:t xml:space="preserve">Debido a la gran importancia de las bacterias de género </w:t>
      </w:r>
      <w:r w:rsidRPr="00922E50">
        <w:rPr>
          <w:rFonts w:cs="Times New Roman"/>
          <w:i/>
          <w:iCs/>
          <w:sz w:val="22"/>
        </w:rPr>
        <w:t>Bacillus</w:t>
      </w:r>
      <w:r w:rsidRPr="00922E50">
        <w:rPr>
          <w:rFonts w:cs="Times New Roman"/>
          <w:sz w:val="22"/>
        </w:rPr>
        <w:t xml:space="preserve"> asociadas a plantas y las especies forestales nativas, se ha propuesto el presente estudio, que permitirá aislar bacterias endófitas del género </w:t>
      </w:r>
      <w:r w:rsidRPr="00922E50">
        <w:rPr>
          <w:rFonts w:cs="Times New Roman"/>
          <w:i/>
          <w:iCs/>
          <w:sz w:val="22"/>
        </w:rPr>
        <w:t>Bacillus</w:t>
      </w:r>
      <w:r w:rsidRPr="00922E50">
        <w:rPr>
          <w:rFonts w:cs="Times New Roman"/>
          <w:sz w:val="22"/>
        </w:rPr>
        <w:t xml:space="preserve"> de tres especies forestales </w:t>
      </w:r>
      <w:r w:rsidRPr="00922E50">
        <w:rPr>
          <w:rFonts w:cs="Times New Roman"/>
          <w:sz w:val="22"/>
        </w:rPr>
        <w:lastRenderedPageBreak/>
        <w:t xml:space="preserve">nativas,  </w:t>
      </w:r>
      <w:r w:rsidRPr="00922E50">
        <w:rPr>
          <w:rFonts w:cs="Times New Roman"/>
          <w:sz w:val="22"/>
          <w:lang w:eastAsia="es-ES"/>
        </w:rPr>
        <w:t>molle (</w:t>
      </w:r>
      <w:r w:rsidRPr="00922E50">
        <w:rPr>
          <w:rFonts w:cs="Times New Roman"/>
          <w:bCs/>
          <w:i/>
          <w:iCs/>
          <w:color w:val="202122"/>
          <w:sz w:val="22"/>
          <w:shd w:val="clear" w:color="auto" w:fill="FFFFFF"/>
        </w:rPr>
        <w:t>Schinus molle</w:t>
      </w:r>
      <w:r w:rsidRPr="00922E50">
        <w:rPr>
          <w:rFonts w:cs="Times New Roman"/>
          <w:sz w:val="22"/>
          <w:lang w:eastAsia="es-ES"/>
        </w:rPr>
        <w:t>), ceibo (</w:t>
      </w:r>
      <w:r w:rsidRPr="00922E50">
        <w:rPr>
          <w:rFonts w:cs="Times New Roman"/>
          <w:bCs/>
          <w:i/>
          <w:iCs/>
          <w:color w:val="202122"/>
          <w:sz w:val="22"/>
          <w:shd w:val="clear" w:color="auto" w:fill="FFFFFF"/>
        </w:rPr>
        <w:t>Erythrina falcata</w:t>
      </w:r>
      <w:r w:rsidRPr="00922E50">
        <w:rPr>
          <w:rFonts w:cs="Times New Roman"/>
          <w:b/>
          <w:bCs/>
          <w:i/>
          <w:iCs/>
          <w:color w:val="202122"/>
          <w:sz w:val="22"/>
          <w:shd w:val="clear" w:color="auto" w:fill="FFFFFF"/>
        </w:rPr>
        <w:t>)</w:t>
      </w:r>
      <w:r w:rsidRPr="00922E50">
        <w:rPr>
          <w:rFonts w:cs="Times New Roman"/>
          <w:sz w:val="22"/>
          <w:lang w:eastAsia="es-ES"/>
        </w:rPr>
        <w:t xml:space="preserve"> y algarrobo (</w:t>
      </w:r>
      <w:r w:rsidRPr="00922E50">
        <w:rPr>
          <w:rFonts w:cs="Times New Roman"/>
          <w:i/>
          <w:sz w:val="22"/>
        </w:rPr>
        <w:t>Prosopis alba</w:t>
      </w:r>
      <w:r w:rsidRPr="00922E50">
        <w:rPr>
          <w:rFonts w:cs="Times New Roman"/>
          <w:sz w:val="22"/>
          <w:lang w:eastAsia="es-ES"/>
        </w:rPr>
        <w:t>), y su posterior evaluación como solubilizadoras de fósforo y promotor de crecimiento en plantines de Jacaranda (</w:t>
      </w:r>
      <w:r w:rsidRPr="00922E50">
        <w:rPr>
          <w:rFonts w:cs="Times New Roman"/>
          <w:i/>
          <w:sz w:val="22"/>
        </w:rPr>
        <w:t>Jacaranda mimosifolia</w:t>
      </w:r>
      <w:r w:rsidRPr="00922E50">
        <w:rPr>
          <w:rFonts w:cs="Times New Roman"/>
          <w:sz w:val="22"/>
        </w:rPr>
        <w:t>)</w:t>
      </w:r>
      <w:r w:rsidRPr="00922E50">
        <w:rPr>
          <w:rFonts w:cs="Times New Roman"/>
          <w:sz w:val="22"/>
          <w:lang w:eastAsia="es-ES"/>
        </w:rPr>
        <w:t>.</w:t>
      </w:r>
    </w:p>
    <w:p w:rsidR="00580136" w:rsidRPr="00580136" w:rsidRDefault="00CD6E7C" w:rsidP="00580136">
      <w:pPr>
        <w:pStyle w:val="Prrafodelista"/>
        <w:numPr>
          <w:ilvl w:val="0"/>
          <w:numId w:val="4"/>
        </w:numPr>
        <w:spacing w:after="0" w:line="360" w:lineRule="auto"/>
        <w:rPr>
          <w:b/>
          <w:szCs w:val="24"/>
        </w:rPr>
      </w:pPr>
      <w:r w:rsidRPr="00CD6E7C">
        <w:rPr>
          <w:b/>
          <w:szCs w:val="24"/>
        </w:rPr>
        <w:t>MATERIALES Y MÉTODOS</w:t>
      </w:r>
    </w:p>
    <w:p w:rsidR="00EE5ED4" w:rsidRPr="005129CD" w:rsidRDefault="00652376" w:rsidP="00CD6E7C">
      <w:pPr>
        <w:spacing w:line="360" w:lineRule="auto"/>
        <w:jc w:val="both"/>
        <w:rPr>
          <w:rFonts w:cs="Times New Roman"/>
          <w:sz w:val="22"/>
        </w:rPr>
      </w:pPr>
      <w:r w:rsidRPr="005129CD">
        <w:rPr>
          <w:sz w:val="22"/>
        </w:rPr>
        <w:t>El ensayo se llevó a cabo en e</w:t>
      </w:r>
      <w:r w:rsidR="00C95D0A">
        <w:rPr>
          <w:sz w:val="22"/>
        </w:rPr>
        <w:t>l departamento de Cochabamba - Bolivia</w:t>
      </w:r>
      <w:r w:rsidRPr="005129CD">
        <w:rPr>
          <w:sz w:val="22"/>
        </w:rPr>
        <w:t xml:space="preserve">, en predios de la Facultad de Ciencias Agrícolas y Pecuarias UMSS., </w:t>
      </w:r>
      <w:r w:rsidR="00F913D6">
        <w:rPr>
          <w:rFonts w:cs="Times New Roman"/>
          <w:sz w:val="22"/>
        </w:rPr>
        <w:t>geográficamente</w:t>
      </w:r>
      <w:r w:rsidRPr="005129CD">
        <w:rPr>
          <w:rFonts w:cs="Times New Roman"/>
          <w:sz w:val="22"/>
        </w:rPr>
        <w:t xml:space="preserve"> localizado a 17°</w:t>
      </w:r>
      <w:r w:rsidR="00580136">
        <w:rPr>
          <w:rFonts w:cs="Times New Roman"/>
          <w:sz w:val="22"/>
        </w:rPr>
        <w:t xml:space="preserve"> </w:t>
      </w:r>
      <w:r w:rsidRPr="005129CD">
        <w:rPr>
          <w:rFonts w:cs="Times New Roman"/>
          <w:sz w:val="22"/>
        </w:rPr>
        <w:t>24’ de latitud sur y 66°</w:t>
      </w:r>
      <w:r w:rsidR="00580136">
        <w:rPr>
          <w:rFonts w:cs="Times New Roman"/>
          <w:sz w:val="22"/>
        </w:rPr>
        <w:t xml:space="preserve"> </w:t>
      </w:r>
      <w:r w:rsidRPr="005129CD">
        <w:rPr>
          <w:rFonts w:cs="Times New Roman"/>
          <w:sz w:val="22"/>
        </w:rPr>
        <w:t>10’ de longitud oeste, con temperatura promedio anual de 18</w:t>
      </w:r>
      <w:r w:rsidR="00580136">
        <w:rPr>
          <w:rFonts w:cs="Times New Roman"/>
          <w:sz w:val="22"/>
        </w:rPr>
        <w:t xml:space="preserve"> </w:t>
      </w:r>
      <w:r w:rsidRPr="005129CD">
        <w:rPr>
          <w:rFonts w:cs="Times New Roman"/>
          <w:sz w:val="22"/>
        </w:rPr>
        <w:t>ºC, humedad relativa media de 56%, precipitación promedio anual de 450mm y una altitud de 2560 msnm.</w:t>
      </w:r>
      <w:r w:rsidR="00E1653B">
        <w:rPr>
          <w:rFonts w:cs="Times New Roman"/>
          <w:sz w:val="22"/>
        </w:rPr>
        <w:t xml:space="preserve"> </w:t>
      </w:r>
    </w:p>
    <w:p w:rsidR="00ED3251" w:rsidRDefault="00652376" w:rsidP="005E79E6">
      <w:pPr>
        <w:spacing w:after="0" w:line="276" w:lineRule="auto"/>
        <w:jc w:val="both"/>
        <w:rPr>
          <w:rFonts w:cs="Times New Roman"/>
          <w:i/>
          <w:szCs w:val="24"/>
          <w:lang w:eastAsia="es-ES"/>
        </w:rPr>
      </w:pPr>
      <w:r w:rsidRPr="00652376">
        <w:rPr>
          <w:rFonts w:cs="Times New Roman"/>
          <w:sz w:val="22"/>
          <w:lang w:eastAsia="es-ES"/>
        </w:rPr>
        <w:t xml:space="preserve">El estudio se </w:t>
      </w:r>
      <w:r w:rsidR="00AE5E48" w:rsidRPr="00652376">
        <w:rPr>
          <w:rFonts w:cs="Times New Roman"/>
          <w:sz w:val="22"/>
          <w:lang w:eastAsia="es-ES"/>
        </w:rPr>
        <w:t>desar</w:t>
      </w:r>
      <w:r w:rsidR="00AE5E48">
        <w:rPr>
          <w:rFonts w:cs="Times New Roman"/>
          <w:sz w:val="22"/>
          <w:lang w:eastAsia="es-ES"/>
        </w:rPr>
        <w:t>rolló</w:t>
      </w:r>
      <w:r w:rsidRPr="00652376">
        <w:rPr>
          <w:rFonts w:cs="Times New Roman"/>
          <w:sz w:val="22"/>
          <w:lang w:eastAsia="es-ES"/>
        </w:rPr>
        <w:t xml:space="preserve"> en dos fases: Fase I en laboratorio y Fase II en invernadero</w:t>
      </w:r>
      <w:bookmarkStart w:id="1" w:name="_Toc106107668"/>
      <w:r w:rsidR="00E1653B">
        <w:rPr>
          <w:rFonts w:cs="Times New Roman"/>
          <w:sz w:val="22"/>
          <w:lang w:eastAsia="es-ES"/>
        </w:rPr>
        <w:t xml:space="preserve">, donde se evaluaron </w:t>
      </w:r>
      <w:r w:rsidR="00E1653B" w:rsidRPr="006D3CDB">
        <w:rPr>
          <w:rFonts w:cs="Times New Roman"/>
          <w:iCs/>
          <w:szCs w:val="24"/>
          <w:lang w:eastAsia="es-ES"/>
        </w:rPr>
        <w:t>las bacteria</w:t>
      </w:r>
      <w:r w:rsidR="00E1653B">
        <w:rPr>
          <w:rFonts w:cs="Times New Roman"/>
          <w:iCs/>
          <w:szCs w:val="24"/>
          <w:lang w:eastAsia="es-ES"/>
        </w:rPr>
        <w:t>s</w:t>
      </w:r>
      <w:r w:rsidR="00E1653B" w:rsidRPr="006D3CDB">
        <w:rPr>
          <w:rFonts w:cs="Times New Roman"/>
          <w:iCs/>
          <w:szCs w:val="24"/>
          <w:lang w:eastAsia="es-ES"/>
        </w:rPr>
        <w:t xml:space="preserve"> seleccionadas tipo</w:t>
      </w:r>
      <w:r w:rsidR="00E1653B">
        <w:rPr>
          <w:rFonts w:cs="Times New Roman"/>
          <w:i/>
          <w:iCs/>
          <w:szCs w:val="24"/>
          <w:lang w:eastAsia="es-ES"/>
        </w:rPr>
        <w:t xml:space="preserve"> Bacillus</w:t>
      </w:r>
      <w:r w:rsidR="00E1653B">
        <w:rPr>
          <w:rFonts w:cs="Times New Roman"/>
          <w:szCs w:val="24"/>
          <w:lang w:eastAsia="es-ES"/>
        </w:rPr>
        <w:t xml:space="preserve"> (15), aisladas de</w:t>
      </w:r>
      <w:r w:rsidR="00C95D0A">
        <w:rPr>
          <w:rFonts w:cs="Times New Roman"/>
          <w:szCs w:val="24"/>
          <w:lang w:eastAsia="es-ES"/>
        </w:rPr>
        <w:t xml:space="preserve"> </w:t>
      </w:r>
      <w:r w:rsidR="00E1653B" w:rsidRPr="00F86708">
        <w:rPr>
          <w:rFonts w:cs="Times New Roman"/>
          <w:szCs w:val="24"/>
          <w:lang w:eastAsia="es-ES"/>
        </w:rPr>
        <w:t>especies forestales</w:t>
      </w:r>
      <w:r w:rsidR="00E1653B">
        <w:rPr>
          <w:rFonts w:cs="Times New Roman"/>
          <w:szCs w:val="24"/>
          <w:lang w:eastAsia="es-ES"/>
        </w:rPr>
        <w:t xml:space="preserve"> nativas (Molle, Ceibo, Algarrobo)</w:t>
      </w:r>
      <w:r w:rsidR="00E1653B" w:rsidRPr="00F86708">
        <w:rPr>
          <w:rFonts w:cs="Times New Roman"/>
          <w:szCs w:val="24"/>
          <w:lang w:eastAsia="es-ES"/>
        </w:rPr>
        <w:t xml:space="preserve"> en combinación con y sin una fuente fosforada (roca fosfórica)</w:t>
      </w:r>
      <w:r w:rsidR="00E1653B">
        <w:rPr>
          <w:rFonts w:cs="Times New Roman"/>
          <w:szCs w:val="24"/>
          <w:lang w:eastAsia="es-ES"/>
        </w:rPr>
        <w:t xml:space="preserve">, </w:t>
      </w:r>
      <w:r w:rsidR="00E1653B" w:rsidRPr="00F86708">
        <w:rPr>
          <w:rFonts w:cs="Times New Roman"/>
          <w:szCs w:val="24"/>
          <w:lang w:eastAsia="es-ES"/>
        </w:rPr>
        <w:t>el testigo</w:t>
      </w:r>
      <w:r w:rsidR="00C95D0A">
        <w:rPr>
          <w:rFonts w:cs="Times New Roman"/>
          <w:szCs w:val="24"/>
          <w:lang w:eastAsia="es-ES"/>
        </w:rPr>
        <w:t xml:space="preserve"> absoluto y</w:t>
      </w:r>
      <w:r w:rsidR="00E1653B">
        <w:rPr>
          <w:rFonts w:cs="Times New Roman"/>
          <w:szCs w:val="24"/>
          <w:lang w:eastAsia="es-ES"/>
        </w:rPr>
        <w:t xml:space="preserve"> un testigo comercial (cepas comerciales), se evaluó en plantines de </w:t>
      </w:r>
      <w:r w:rsidR="00E1653B" w:rsidRPr="00E1653B">
        <w:rPr>
          <w:rFonts w:cs="Times New Roman"/>
          <w:i/>
          <w:szCs w:val="24"/>
          <w:lang w:eastAsia="es-ES"/>
        </w:rPr>
        <w:t>Jacaranda mimosifolia.</w:t>
      </w:r>
    </w:p>
    <w:p w:rsidR="00393D3C" w:rsidRPr="00652376" w:rsidRDefault="00393D3C" w:rsidP="005E79E6">
      <w:pPr>
        <w:spacing w:after="0" w:line="276" w:lineRule="auto"/>
        <w:jc w:val="both"/>
        <w:rPr>
          <w:rFonts w:cs="Times New Roman"/>
          <w:sz w:val="22"/>
          <w:lang w:eastAsia="es-ES"/>
        </w:rPr>
      </w:pPr>
    </w:p>
    <w:p w:rsidR="001234BA" w:rsidRPr="00CD6E7C" w:rsidRDefault="00652376" w:rsidP="00CD6E7C">
      <w:pPr>
        <w:spacing w:after="0" w:line="360" w:lineRule="auto"/>
        <w:jc w:val="both"/>
        <w:rPr>
          <w:b/>
          <w:i/>
          <w:sz w:val="22"/>
          <w:lang w:eastAsia="es-ES"/>
        </w:rPr>
      </w:pPr>
      <w:r w:rsidRPr="005129CD">
        <w:rPr>
          <w:b/>
          <w:i/>
          <w:sz w:val="22"/>
          <w:lang w:eastAsia="es-ES"/>
        </w:rPr>
        <w:t xml:space="preserve">Fase I: Aislamiento y selección in vitro de </w:t>
      </w:r>
      <w:r w:rsidRPr="005129CD">
        <w:rPr>
          <w:b/>
          <w:i/>
          <w:iCs/>
          <w:sz w:val="22"/>
          <w:lang w:eastAsia="es-ES"/>
        </w:rPr>
        <w:t>Bacillus</w:t>
      </w:r>
      <w:r w:rsidRPr="005129CD">
        <w:rPr>
          <w:b/>
          <w:i/>
          <w:sz w:val="22"/>
          <w:lang w:eastAsia="es-ES"/>
        </w:rPr>
        <w:t xml:space="preserve"> endófito </w:t>
      </w:r>
      <w:bookmarkStart w:id="2" w:name="_Toc106107669"/>
      <w:bookmarkEnd w:id="1"/>
    </w:p>
    <w:p w:rsidR="001234BA" w:rsidRDefault="00361B4A" w:rsidP="00CD6E7C">
      <w:pPr>
        <w:spacing w:after="0" w:line="360" w:lineRule="auto"/>
        <w:jc w:val="both"/>
        <w:rPr>
          <w:b/>
          <w:sz w:val="22"/>
          <w:lang w:eastAsia="es-ES"/>
        </w:rPr>
      </w:pPr>
      <w:r w:rsidRPr="00361B4A">
        <w:rPr>
          <w:b/>
          <w:sz w:val="22"/>
          <w:lang w:eastAsia="es-ES"/>
        </w:rPr>
        <w:t>Muestreo</w:t>
      </w:r>
    </w:p>
    <w:p w:rsidR="001234BA" w:rsidRPr="00ED3251" w:rsidRDefault="00361B4A" w:rsidP="00CD6E7C">
      <w:pPr>
        <w:spacing w:after="0" w:line="360" w:lineRule="auto"/>
        <w:jc w:val="both"/>
        <w:rPr>
          <w:i/>
          <w:sz w:val="22"/>
          <w:lang w:eastAsia="es-ES"/>
        </w:rPr>
      </w:pPr>
      <w:r>
        <w:rPr>
          <w:sz w:val="22"/>
          <w:lang w:eastAsia="es-ES"/>
        </w:rPr>
        <w:t xml:space="preserve"> </w:t>
      </w:r>
      <w:r w:rsidR="00ED3251" w:rsidRPr="00ED3251">
        <w:rPr>
          <w:sz w:val="22"/>
          <w:lang w:eastAsia="es-ES"/>
        </w:rPr>
        <w:t xml:space="preserve">Se colectaron muestras de tres especies forestales nativas ceibo </w:t>
      </w:r>
      <w:r w:rsidR="00ED3251" w:rsidRPr="00ED3251">
        <w:rPr>
          <w:i/>
          <w:sz w:val="22"/>
          <w:lang w:eastAsia="es-ES"/>
        </w:rPr>
        <w:t>(</w:t>
      </w:r>
      <w:r w:rsidR="00ED3251" w:rsidRPr="00ED3251">
        <w:rPr>
          <w:bCs/>
          <w:i/>
          <w:color w:val="202122"/>
          <w:sz w:val="22"/>
          <w:shd w:val="clear" w:color="auto" w:fill="FFFFFF"/>
        </w:rPr>
        <w:t>Erythrina falcata</w:t>
      </w:r>
      <w:r w:rsidR="00ED3251" w:rsidRPr="00ED3251">
        <w:rPr>
          <w:i/>
          <w:sz w:val="22"/>
          <w:lang w:eastAsia="es-ES"/>
        </w:rPr>
        <w:t>)</w:t>
      </w:r>
      <w:r w:rsidR="00ED3251" w:rsidRPr="00ED3251">
        <w:rPr>
          <w:sz w:val="22"/>
          <w:lang w:eastAsia="es-ES"/>
        </w:rPr>
        <w:t xml:space="preserve">, molle </w:t>
      </w:r>
      <w:r w:rsidR="00ED3251" w:rsidRPr="00ED3251">
        <w:rPr>
          <w:i/>
          <w:sz w:val="22"/>
          <w:lang w:eastAsia="es-ES"/>
        </w:rPr>
        <w:t>(</w:t>
      </w:r>
      <w:r w:rsidR="00ED3251" w:rsidRPr="00ED3251">
        <w:rPr>
          <w:bCs/>
          <w:i/>
          <w:color w:val="202122"/>
          <w:sz w:val="22"/>
          <w:shd w:val="clear" w:color="auto" w:fill="FFFFFF"/>
        </w:rPr>
        <w:t>Schinus molle</w:t>
      </w:r>
      <w:r w:rsidR="00ED3251" w:rsidRPr="00ED3251">
        <w:rPr>
          <w:i/>
          <w:sz w:val="22"/>
          <w:lang w:eastAsia="es-ES"/>
        </w:rPr>
        <w:t>)</w:t>
      </w:r>
      <w:r w:rsidR="00ED3251" w:rsidRPr="00ED3251">
        <w:rPr>
          <w:sz w:val="22"/>
          <w:lang w:eastAsia="es-ES"/>
        </w:rPr>
        <w:t xml:space="preserve"> y algarrobo </w:t>
      </w:r>
      <w:r w:rsidR="00ED3251" w:rsidRPr="00ED3251">
        <w:rPr>
          <w:i/>
          <w:sz w:val="22"/>
          <w:lang w:eastAsia="es-ES"/>
        </w:rPr>
        <w:t>(</w:t>
      </w:r>
      <w:r w:rsidR="00ED3251" w:rsidRPr="00ED3251">
        <w:rPr>
          <w:i/>
          <w:sz w:val="22"/>
        </w:rPr>
        <w:t>Prosopis alba</w:t>
      </w:r>
      <w:r w:rsidR="00ED3251" w:rsidRPr="00ED3251">
        <w:rPr>
          <w:i/>
          <w:sz w:val="22"/>
          <w:lang w:eastAsia="es-ES"/>
        </w:rPr>
        <w:t>)</w:t>
      </w:r>
      <w:r w:rsidR="00C95D0A">
        <w:rPr>
          <w:sz w:val="22"/>
          <w:lang w:eastAsia="es-ES"/>
        </w:rPr>
        <w:t>,</w:t>
      </w:r>
      <w:r w:rsidR="00ED3251" w:rsidRPr="00ED3251">
        <w:rPr>
          <w:sz w:val="22"/>
          <w:lang w:eastAsia="es-ES"/>
        </w:rPr>
        <w:t xml:space="preserve"> 10 gr de raíces</w:t>
      </w:r>
      <w:r w:rsidR="00ED3251">
        <w:rPr>
          <w:sz w:val="22"/>
          <w:lang w:eastAsia="es-ES"/>
        </w:rPr>
        <w:t xml:space="preserve"> secundarias</w:t>
      </w:r>
      <w:r w:rsidR="00ED3251" w:rsidRPr="00ED3251">
        <w:rPr>
          <w:sz w:val="22"/>
          <w:lang w:eastAsia="es-ES"/>
        </w:rPr>
        <w:t xml:space="preserve"> jóvenes  por especie. </w:t>
      </w:r>
      <w:bookmarkEnd w:id="2"/>
    </w:p>
    <w:p w:rsidR="001234BA" w:rsidRDefault="00361B4A" w:rsidP="00CD6E7C">
      <w:pPr>
        <w:spacing w:after="0" w:line="360" w:lineRule="auto"/>
        <w:jc w:val="both"/>
        <w:rPr>
          <w:rFonts w:cs="Times New Roman"/>
          <w:b/>
          <w:sz w:val="22"/>
          <w:lang w:eastAsia="es-ES"/>
        </w:rPr>
      </w:pPr>
      <w:r w:rsidRPr="00361B4A">
        <w:rPr>
          <w:rFonts w:cs="Times New Roman"/>
          <w:b/>
          <w:sz w:val="22"/>
          <w:lang w:eastAsia="es-ES"/>
        </w:rPr>
        <w:t>Aislamiento de bacterias endófitas</w:t>
      </w:r>
    </w:p>
    <w:p w:rsidR="00652376" w:rsidRDefault="00361B4A" w:rsidP="00CD6E7C">
      <w:pPr>
        <w:spacing w:after="0" w:line="360" w:lineRule="auto"/>
        <w:jc w:val="both"/>
        <w:rPr>
          <w:rFonts w:cs="Times New Roman"/>
          <w:sz w:val="22"/>
          <w:lang w:eastAsia="es-ES"/>
        </w:rPr>
      </w:pPr>
      <w:r>
        <w:rPr>
          <w:rFonts w:cs="Times New Roman"/>
          <w:sz w:val="22"/>
          <w:lang w:eastAsia="es-ES"/>
        </w:rPr>
        <w:t xml:space="preserve"> </w:t>
      </w:r>
      <w:r w:rsidR="00D86E57">
        <w:rPr>
          <w:rFonts w:cs="Times New Roman"/>
          <w:sz w:val="22"/>
          <w:lang w:eastAsia="es-ES"/>
        </w:rPr>
        <w:t>Las raíces obtenidas fueron sometidas a un proceso de de</w:t>
      </w:r>
      <w:r w:rsidR="00E36B71">
        <w:rPr>
          <w:rFonts w:cs="Times New Roman"/>
          <w:sz w:val="22"/>
          <w:lang w:eastAsia="es-ES"/>
        </w:rPr>
        <w:t>sinfección superficial</w:t>
      </w:r>
      <w:r w:rsidR="00D86E57">
        <w:rPr>
          <w:rFonts w:cs="Times New Roman"/>
          <w:sz w:val="22"/>
          <w:lang w:eastAsia="es-ES"/>
        </w:rPr>
        <w:t xml:space="preserve">, estas fueron cortadas es segmentos de 3 cm aproximadamente, </w:t>
      </w:r>
      <w:r w:rsidR="00D86E57">
        <w:rPr>
          <w:rFonts w:cs="Times New Roman"/>
          <w:sz w:val="22"/>
          <w:lang w:eastAsia="es-ES"/>
        </w:rPr>
        <w:lastRenderedPageBreak/>
        <w:t>los cuales fueron enjuagados con solución salina al 0.85%</w:t>
      </w:r>
      <w:r w:rsidR="001026C3">
        <w:rPr>
          <w:rFonts w:cs="Times New Roman"/>
          <w:sz w:val="22"/>
          <w:lang w:eastAsia="es-ES"/>
        </w:rPr>
        <w:t xml:space="preserve"> y posteriormente</w:t>
      </w:r>
      <w:r>
        <w:rPr>
          <w:rFonts w:cs="Times New Roman"/>
          <w:sz w:val="22"/>
          <w:lang w:eastAsia="es-ES"/>
        </w:rPr>
        <w:t xml:space="preserve"> sumergida</w:t>
      </w:r>
      <w:r w:rsidR="00D86E57">
        <w:rPr>
          <w:rFonts w:cs="Times New Roman"/>
          <w:sz w:val="22"/>
          <w:lang w:eastAsia="es-ES"/>
        </w:rPr>
        <w:t>s en alcohol al 70% durante 1 min</w:t>
      </w:r>
      <w:r>
        <w:rPr>
          <w:rFonts w:cs="Times New Roman"/>
          <w:sz w:val="22"/>
          <w:lang w:eastAsia="es-ES"/>
        </w:rPr>
        <w:t xml:space="preserve"> y 15 min en hipoclorito de Na al 1.3%. </w:t>
      </w:r>
      <w:r w:rsidR="00430654">
        <w:rPr>
          <w:rFonts w:cs="Times New Roman"/>
          <w:sz w:val="22"/>
          <w:lang w:eastAsia="es-ES"/>
        </w:rPr>
        <w:t>Metodología</w:t>
      </w:r>
      <w:r>
        <w:rPr>
          <w:rFonts w:cs="Times New Roman"/>
          <w:sz w:val="22"/>
          <w:lang w:eastAsia="es-ES"/>
        </w:rPr>
        <w:t xml:space="preserve"> propuesta por Claros y Ortuño (2016)</w:t>
      </w:r>
      <w:r w:rsidR="00C95D0A">
        <w:rPr>
          <w:rFonts w:cs="Times New Roman"/>
          <w:sz w:val="22"/>
          <w:lang w:eastAsia="es-ES"/>
        </w:rPr>
        <w:t>. Posteriormente,</w:t>
      </w:r>
      <w:r w:rsidR="00430654">
        <w:rPr>
          <w:rFonts w:cs="Times New Roman"/>
          <w:sz w:val="22"/>
          <w:lang w:eastAsia="es-ES"/>
        </w:rPr>
        <w:t xml:space="preserve"> se depositaron en bolsas plásticas estériles y empleado un mortero estéril se procedió a macerarlas</w:t>
      </w:r>
      <w:r w:rsidR="00C95D0A">
        <w:rPr>
          <w:rFonts w:cs="Times New Roman"/>
          <w:sz w:val="22"/>
          <w:lang w:eastAsia="es-ES"/>
        </w:rPr>
        <w:t>,</w:t>
      </w:r>
      <w:r w:rsidR="00430654">
        <w:rPr>
          <w:rFonts w:cs="Times New Roman"/>
          <w:sz w:val="22"/>
          <w:lang w:eastAsia="es-ES"/>
        </w:rPr>
        <w:t xml:space="preserve"> </w:t>
      </w:r>
      <w:r w:rsidR="00AF5852">
        <w:rPr>
          <w:rFonts w:cs="Times New Roman"/>
          <w:sz w:val="22"/>
          <w:lang w:eastAsia="es-ES"/>
        </w:rPr>
        <w:t>se recogió las raíces y se las sembró en medio solido TSA (Triptona Soya Agar)</w:t>
      </w:r>
      <w:r w:rsidR="00430654">
        <w:rPr>
          <w:rFonts w:cs="Times New Roman"/>
          <w:sz w:val="22"/>
          <w:lang w:eastAsia="es-ES"/>
        </w:rPr>
        <w:t xml:space="preserve"> </w:t>
      </w:r>
      <w:r w:rsidR="00AF5852">
        <w:rPr>
          <w:rFonts w:cs="Times New Roman"/>
          <w:sz w:val="22"/>
          <w:lang w:eastAsia="es-ES"/>
        </w:rPr>
        <w:t>en placas in</w:t>
      </w:r>
      <w:r w:rsidR="00F913D6">
        <w:rPr>
          <w:rFonts w:cs="Times New Roman"/>
          <w:sz w:val="22"/>
          <w:lang w:eastAsia="es-ES"/>
        </w:rPr>
        <w:t xml:space="preserve">dividuales por especie forestal, </w:t>
      </w:r>
      <w:r w:rsidR="00AF5852">
        <w:rPr>
          <w:rFonts w:cs="Times New Roman"/>
          <w:sz w:val="22"/>
          <w:lang w:eastAsia="es-ES"/>
        </w:rPr>
        <w:t>incu</w:t>
      </w:r>
      <w:r w:rsidR="00F913D6">
        <w:rPr>
          <w:rFonts w:cs="Times New Roman"/>
          <w:sz w:val="22"/>
          <w:lang w:eastAsia="es-ES"/>
        </w:rPr>
        <w:t>badas</w:t>
      </w:r>
      <w:r w:rsidR="00AF5852">
        <w:rPr>
          <w:rFonts w:cs="Times New Roman"/>
          <w:sz w:val="22"/>
          <w:lang w:eastAsia="es-ES"/>
        </w:rPr>
        <w:t xml:space="preserve"> a 25 ºC por 24 horas.  </w:t>
      </w:r>
    </w:p>
    <w:p w:rsidR="008F18FD" w:rsidRDefault="00AF5852" w:rsidP="00CD6E7C">
      <w:pPr>
        <w:spacing w:after="0" w:line="360" w:lineRule="auto"/>
        <w:jc w:val="both"/>
        <w:rPr>
          <w:rFonts w:cs="Times New Roman"/>
          <w:sz w:val="22"/>
          <w:lang w:eastAsia="es-ES"/>
        </w:rPr>
      </w:pPr>
      <w:r>
        <w:rPr>
          <w:rFonts w:cs="Times New Roman"/>
          <w:sz w:val="22"/>
          <w:lang w:eastAsia="es-ES"/>
        </w:rPr>
        <w:t xml:space="preserve">Transcurrido este tiempo se observó el desarrollo de la diversidad de colonias </w:t>
      </w:r>
      <w:r w:rsidR="003B69A9">
        <w:rPr>
          <w:rFonts w:cs="Times New Roman"/>
          <w:sz w:val="22"/>
          <w:lang w:eastAsia="es-ES"/>
        </w:rPr>
        <w:t>las cuales fueron purificadas en pl</w:t>
      </w:r>
      <w:r w:rsidR="00F913D6">
        <w:rPr>
          <w:rFonts w:cs="Times New Roman"/>
          <w:sz w:val="22"/>
          <w:lang w:eastAsia="es-ES"/>
        </w:rPr>
        <w:t>acas individuales.</w:t>
      </w:r>
    </w:p>
    <w:p w:rsidR="003B0EF1" w:rsidRDefault="001234BA" w:rsidP="00CD6E7C">
      <w:pPr>
        <w:spacing w:after="0" w:line="360" w:lineRule="auto"/>
        <w:jc w:val="both"/>
        <w:rPr>
          <w:rFonts w:cs="Times New Roman"/>
          <w:b/>
          <w:sz w:val="22"/>
          <w:lang w:eastAsia="es-ES"/>
        </w:rPr>
      </w:pPr>
      <w:r>
        <w:rPr>
          <w:rFonts w:cs="Times New Roman"/>
          <w:b/>
          <w:sz w:val="22"/>
          <w:lang w:eastAsia="es-ES"/>
        </w:rPr>
        <w:t>Selección</w:t>
      </w:r>
      <w:r w:rsidR="003B69A9" w:rsidRPr="003B69A9">
        <w:rPr>
          <w:rFonts w:cs="Times New Roman"/>
          <w:b/>
          <w:sz w:val="22"/>
          <w:lang w:eastAsia="es-ES"/>
        </w:rPr>
        <w:t xml:space="preserve"> de</w:t>
      </w:r>
      <w:r w:rsidR="003B69A9" w:rsidRPr="003B69A9">
        <w:rPr>
          <w:rFonts w:cs="Times New Roman"/>
          <w:b/>
          <w:i/>
          <w:sz w:val="22"/>
          <w:lang w:eastAsia="es-ES"/>
        </w:rPr>
        <w:t xml:space="preserve"> Bacillus</w:t>
      </w:r>
      <w:r w:rsidR="003B69A9" w:rsidRPr="003B69A9">
        <w:rPr>
          <w:rFonts w:cs="Times New Roman"/>
          <w:b/>
          <w:sz w:val="22"/>
          <w:lang w:eastAsia="es-ES"/>
        </w:rPr>
        <w:t xml:space="preserve"> </w:t>
      </w:r>
    </w:p>
    <w:p w:rsidR="001234BA" w:rsidRDefault="003B0EF1" w:rsidP="00CD6E7C">
      <w:pPr>
        <w:spacing w:after="0" w:line="360" w:lineRule="auto"/>
        <w:jc w:val="both"/>
        <w:rPr>
          <w:rFonts w:cs="Times New Roman"/>
          <w:sz w:val="22"/>
          <w:lang w:eastAsia="es-ES"/>
        </w:rPr>
      </w:pPr>
      <w:r w:rsidRPr="003B0EF1">
        <w:rPr>
          <w:rFonts w:cs="Times New Roman"/>
          <w:sz w:val="22"/>
          <w:lang w:eastAsia="es-ES"/>
        </w:rPr>
        <w:t>La</w:t>
      </w:r>
      <w:r>
        <w:rPr>
          <w:rFonts w:cs="Times New Roman"/>
          <w:sz w:val="22"/>
          <w:lang w:eastAsia="es-ES"/>
        </w:rPr>
        <w:t>s colonias aisladas</w:t>
      </w:r>
      <w:r w:rsidR="00514B67">
        <w:rPr>
          <w:rFonts w:cs="Times New Roman"/>
          <w:sz w:val="22"/>
          <w:lang w:eastAsia="es-ES"/>
        </w:rPr>
        <w:t xml:space="preserve"> de raíces, </w:t>
      </w:r>
      <w:r>
        <w:rPr>
          <w:rFonts w:cs="Times New Roman"/>
          <w:sz w:val="22"/>
          <w:lang w:eastAsia="es-ES"/>
        </w:rPr>
        <w:t xml:space="preserve">fueron </w:t>
      </w:r>
      <w:r w:rsidR="00514B67">
        <w:rPr>
          <w:rFonts w:cs="Times New Roman"/>
          <w:sz w:val="22"/>
          <w:lang w:eastAsia="es-ES"/>
        </w:rPr>
        <w:t xml:space="preserve">expuestas </w:t>
      </w:r>
      <w:r>
        <w:rPr>
          <w:rFonts w:cs="Times New Roman"/>
          <w:sz w:val="22"/>
          <w:lang w:eastAsia="es-ES"/>
        </w:rPr>
        <w:t xml:space="preserve">a un shock térmico, donde se </w:t>
      </w:r>
      <w:r w:rsidR="00514B67">
        <w:rPr>
          <w:rFonts w:cs="Times New Roman"/>
          <w:sz w:val="22"/>
          <w:lang w:eastAsia="es-ES"/>
        </w:rPr>
        <w:t xml:space="preserve">tomaron </w:t>
      </w:r>
      <w:r>
        <w:rPr>
          <w:rFonts w:cs="Times New Roman"/>
          <w:sz w:val="22"/>
          <w:lang w:eastAsia="es-ES"/>
        </w:rPr>
        <w:t>muestra</w:t>
      </w:r>
      <w:r w:rsidR="00514B67">
        <w:rPr>
          <w:rFonts w:cs="Times New Roman"/>
          <w:sz w:val="22"/>
          <w:lang w:eastAsia="es-ES"/>
        </w:rPr>
        <w:t>s</w:t>
      </w:r>
      <w:r>
        <w:rPr>
          <w:rFonts w:cs="Times New Roman"/>
          <w:sz w:val="22"/>
          <w:lang w:eastAsia="es-ES"/>
        </w:rPr>
        <w:t xml:space="preserve"> de  </w:t>
      </w:r>
      <w:r w:rsidR="00514B67">
        <w:rPr>
          <w:rFonts w:cs="Times New Roman"/>
          <w:sz w:val="22"/>
          <w:lang w:eastAsia="es-ES"/>
        </w:rPr>
        <w:t>las</w:t>
      </w:r>
      <w:r>
        <w:rPr>
          <w:rFonts w:cs="Times New Roman"/>
          <w:sz w:val="22"/>
          <w:lang w:eastAsia="es-ES"/>
        </w:rPr>
        <w:t xml:space="preserve"> </w:t>
      </w:r>
      <w:r w:rsidR="00514B67">
        <w:rPr>
          <w:rFonts w:cs="Times New Roman"/>
          <w:sz w:val="22"/>
          <w:lang w:eastAsia="es-ES"/>
        </w:rPr>
        <w:t>bacterias purificadas y multiplica</w:t>
      </w:r>
      <w:r w:rsidR="001026C3">
        <w:rPr>
          <w:rFonts w:cs="Times New Roman"/>
          <w:sz w:val="22"/>
          <w:lang w:eastAsia="es-ES"/>
        </w:rPr>
        <w:t>das en medio líquido, estas</w:t>
      </w:r>
      <w:r w:rsidR="00514B67">
        <w:rPr>
          <w:rFonts w:cs="Times New Roman"/>
          <w:sz w:val="22"/>
          <w:lang w:eastAsia="es-ES"/>
        </w:rPr>
        <w:t xml:space="preserve"> fueron sometidas a 80</w:t>
      </w:r>
      <w:r w:rsidR="00580136">
        <w:rPr>
          <w:rFonts w:cs="Times New Roman"/>
          <w:sz w:val="22"/>
          <w:lang w:eastAsia="es-ES"/>
        </w:rPr>
        <w:t xml:space="preserve"> </w:t>
      </w:r>
      <w:r w:rsidR="00514B67">
        <w:rPr>
          <w:rFonts w:cs="Times New Roman"/>
          <w:sz w:val="22"/>
          <w:lang w:eastAsia="es-ES"/>
        </w:rPr>
        <w:t xml:space="preserve">ºC por 15 min. </w:t>
      </w:r>
      <w:r w:rsidR="009F5099">
        <w:rPr>
          <w:rFonts w:cs="Times New Roman"/>
          <w:sz w:val="22"/>
          <w:lang w:eastAsia="es-ES"/>
        </w:rPr>
        <w:t xml:space="preserve">Posteriormente se realizó la siembra en medio </w:t>
      </w:r>
      <w:r w:rsidR="001026C3">
        <w:rPr>
          <w:rFonts w:cs="Times New Roman"/>
          <w:sz w:val="22"/>
          <w:lang w:eastAsia="es-ES"/>
        </w:rPr>
        <w:t xml:space="preserve">solido TSA, </w:t>
      </w:r>
      <w:r w:rsidR="001F3CD1">
        <w:rPr>
          <w:rFonts w:cs="Times New Roman"/>
          <w:sz w:val="22"/>
          <w:lang w:eastAsia="es-ES"/>
        </w:rPr>
        <w:t>incubado</w:t>
      </w:r>
      <w:r w:rsidR="009F5099">
        <w:rPr>
          <w:rFonts w:cs="Times New Roman"/>
          <w:sz w:val="22"/>
          <w:lang w:eastAsia="es-ES"/>
        </w:rPr>
        <w:t xml:space="preserve"> por 24 horas. Las cepas que lograron desarrollar después del shock térmico fueron preseleccionadas y se les realizo </w:t>
      </w:r>
      <w:r w:rsidR="00C95D0A">
        <w:rPr>
          <w:rFonts w:cs="Times New Roman"/>
          <w:sz w:val="22"/>
          <w:lang w:eastAsia="es-ES"/>
        </w:rPr>
        <w:t>pruebas bioquímicas adicionales,</w:t>
      </w:r>
      <w:r w:rsidR="001234BA">
        <w:rPr>
          <w:rFonts w:cs="Times New Roman"/>
          <w:sz w:val="22"/>
          <w:lang w:eastAsia="es-ES"/>
        </w:rPr>
        <w:t xml:space="preserve">las cuales ayudaron a la selección de cepas bacterianas tipo </w:t>
      </w:r>
      <w:r w:rsidR="001234BA" w:rsidRPr="001234BA">
        <w:rPr>
          <w:rFonts w:cs="Times New Roman"/>
          <w:i/>
          <w:sz w:val="22"/>
          <w:lang w:eastAsia="es-ES"/>
        </w:rPr>
        <w:t>Bacillus</w:t>
      </w:r>
      <w:r w:rsidR="001234BA">
        <w:rPr>
          <w:rFonts w:cs="Times New Roman"/>
          <w:sz w:val="22"/>
          <w:lang w:eastAsia="es-ES"/>
        </w:rPr>
        <w:t>.</w:t>
      </w:r>
    </w:p>
    <w:p w:rsidR="00280063" w:rsidRDefault="00280063" w:rsidP="00CD6E7C">
      <w:pPr>
        <w:spacing w:after="0" w:line="360" w:lineRule="auto"/>
        <w:jc w:val="both"/>
        <w:rPr>
          <w:rFonts w:cs="Times New Roman"/>
          <w:b/>
          <w:sz w:val="22"/>
        </w:rPr>
      </w:pPr>
      <w:r w:rsidRPr="005129CD">
        <w:rPr>
          <w:rFonts w:cs="Times New Roman"/>
          <w:b/>
          <w:sz w:val="22"/>
        </w:rPr>
        <w:t xml:space="preserve">Determinación de la solubilización </w:t>
      </w:r>
      <w:r>
        <w:rPr>
          <w:rFonts w:cs="Times New Roman"/>
          <w:b/>
          <w:sz w:val="22"/>
        </w:rPr>
        <w:t>de f</w:t>
      </w:r>
      <w:r w:rsidRPr="005129CD">
        <w:rPr>
          <w:rFonts w:cs="Times New Roman"/>
          <w:b/>
          <w:sz w:val="22"/>
        </w:rPr>
        <w:t>osfatos</w:t>
      </w:r>
    </w:p>
    <w:p w:rsidR="00280063" w:rsidRPr="00580136" w:rsidRDefault="00280063" w:rsidP="00580136">
      <w:pPr>
        <w:spacing w:after="0" w:line="360" w:lineRule="auto"/>
        <w:jc w:val="both"/>
        <w:rPr>
          <w:sz w:val="22"/>
        </w:rPr>
      </w:pPr>
      <w:r w:rsidRPr="005129CD">
        <w:rPr>
          <w:sz w:val="22"/>
        </w:rPr>
        <w:t>La determinación cualitativa de la solubilización de fosfatos se llevó a cabo por siembra directa de</w:t>
      </w:r>
      <w:r>
        <w:rPr>
          <w:sz w:val="22"/>
        </w:rPr>
        <w:t xml:space="preserve"> los</w:t>
      </w:r>
      <w:r w:rsidRPr="005129CD">
        <w:rPr>
          <w:sz w:val="22"/>
        </w:rPr>
        <w:t xml:space="preserve"> </w:t>
      </w:r>
      <w:r w:rsidRPr="005129CD">
        <w:rPr>
          <w:i/>
          <w:sz w:val="22"/>
        </w:rPr>
        <w:t>Bacillus</w:t>
      </w:r>
      <w:r w:rsidRPr="005129CD">
        <w:rPr>
          <w:sz w:val="22"/>
        </w:rPr>
        <w:t xml:space="preserve"> seleccionados en el medio de cultivo sólido NBRIP (Nautiyal</w:t>
      </w:r>
      <w:r w:rsidR="00580136">
        <w:rPr>
          <w:sz w:val="22"/>
        </w:rPr>
        <w:t>,</w:t>
      </w:r>
      <w:r w:rsidRPr="005129CD">
        <w:rPr>
          <w:sz w:val="22"/>
        </w:rPr>
        <w:t xml:space="preserve"> 1999)</w:t>
      </w:r>
      <w:r>
        <w:rPr>
          <w:sz w:val="22"/>
        </w:rPr>
        <w:t>.</w:t>
      </w:r>
      <w:r w:rsidRPr="005129CD">
        <w:rPr>
          <w:sz w:val="22"/>
        </w:rPr>
        <w:t xml:space="preserve"> Las placas se i</w:t>
      </w:r>
      <w:r w:rsidR="00232B72">
        <w:rPr>
          <w:sz w:val="22"/>
        </w:rPr>
        <w:t>ncubaron a 30</w:t>
      </w:r>
      <w:r w:rsidR="00580136">
        <w:rPr>
          <w:sz w:val="22"/>
        </w:rPr>
        <w:t xml:space="preserve"> </w:t>
      </w:r>
      <w:r w:rsidR="00F913D6">
        <w:rPr>
          <w:sz w:val="22"/>
        </w:rPr>
        <w:t xml:space="preserve">°C. </w:t>
      </w:r>
      <w:r w:rsidRPr="005129CD">
        <w:rPr>
          <w:sz w:val="22"/>
        </w:rPr>
        <w:t>Siendo los positivos los que muestran un halo transparente.</w:t>
      </w:r>
    </w:p>
    <w:p w:rsidR="008A13D2" w:rsidRDefault="001234BA" w:rsidP="00580136">
      <w:pPr>
        <w:spacing w:after="0" w:line="360" w:lineRule="auto"/>
        <w:jc w:val="both"/>
        <w:rPr>
          <w:rFonts w:cs="Times New Roman"/>
          <w:b/>
          <w:sz w:val="22"/>
          <w:lang w:eastAsia="es-ES"/>
        </w:rPr>
      </w:pPr>
      <w:r w:rsidRPr="001234BA">
        <w:rPr>
          <w:rFonts w:cs="Times New Roman"/>
          <w:b/>
          <w:sz w:val="22"/>
          <w:lang w:eastAsia="es-ES"/>
        </w:rPr>
        <w:t xml:space="preserve">Multiplicación </w:t>
      </w:r>
      <w:r w:rsidR="00280063">
        <w:rPr>
          <w:rFonts w:cs="Times New Roman"/>
          <w:b/>
          <w:sz w:val="22"/>
          <w:lang w:eastAsia="es-ES"/>
        </w:rPr>
        <w:t>en medio de cultivo lí</w:t>
      </w:r>
      <w:r w:rsidR="00280063" w:rsidRPr="001234BA">
        <w:rPr>
          <w:rFonts w:cs="Times New Roman"/>
          <w:b/>
          <w:sz w:val="22"/>
          <w:lang w:eastAsia="es-ES"/>
        </w:rPr>
        <w:t>quido</w:t>
      </w:r>
      <w:r w:rsidR="00280063">
        <w:rPr>
          <w:rFonts w:cs="Times New Roman"/>
          <w:b/>
          <w:sz w:val="22"/>
          <w:lang w:eastAsia="es-ES"/>
        </w:rPr>
        <w:t xml:space="preserve"> (inoculo)</w:t>
      </w:r>
    </w:p>
    <w:p w:rsidR="005129CD" w:rsidRPr="008A13D2" w:rsidRDefault="008A13D2" w:rsidP="00580136">
      <w:pPr>
        <w:spacing w:after="0" w:line="360" w:lineRule="auto"/>
        <w:jc w:val="both"/>
        <w:rPr>
          <w:rFonts w:cs="Times New Roman"/>
          <w:sz w:val="22"/>
        </w:rPr>
      </w:pPr>
      <w:r w:rsidRPr="008A13D2">
        <w:rPr>
          <w:rFonts w:cs="Times New Roman"/>
          <w:sz w:val="22"/>
          <w:lang w:eastAsia="es-ES"/>
        </w:rPr>
        <w:lastRenderedPageBreak/>
        <w:t>Se</w:t>
      </w:r>
      <w:r w:rsidRPr="008A13D2">
        <w:rPr>
          <w:sz w:val="22"/>
        </w:rPr>
        <w:t xml:space="preserve"> realizó la multiplicación de bacterias en el medio líquido</w:t>
      </w:r>
      <w:r>
        <w:rPr>
          <w:sz w:val="22"/>
        </w:rPr>
        <w:t xml:space="preserve">  Melaza-Soya (MS) siguiendo lo descrito por </w:t>
      </w:r>
      <w:r w:rsidRPr="008A13D2">
        <w:rPr>
          <w:sz w:val="22"/>
        </w:rPr>
        <w:t>Ferrufino</w:t>
      </w:r>
      <w:r>
        <w:rPr>
          <w:sz w:val="22"/>
        </w:rPr>
        <w:t xml:space="preserve"> (</w:t>
      </w:r>
      <w:r w:rsidRPr="008A13D2">
        <w:rPr>
          <w:sz w:val="22"/>
        </w:rPr>
        <w:t>2019).</w:t>
      </w:r>
      <w:r w:rsidR="00280063">
        <w:rPr>
          <w:sz w:val="22"/>
        </w:rPr>
        <w:t xml:space="preserve"> </w:t>
      </w:r>
      <w:r w:rsidR="00280063" w:rsidRPr="008A13D2">
        <w:rPr>
          <w:rFonts w:cs="Times New Roman"/>
          <w:sz w:val="22"/>
        </w:rPr>
        <w:t>Se</w:t>
      </w:r>
      <w:r w:rsidRPr="008A13D2">
        <w:rPr>
          <w:rFonts w:cs="Times New Roman"/>
          <w:sz w:val="22"/>
        </w:rPr>
        <w:t xml:space="preserve"> realizó a partir de una placa petri con los cultivos bacterianos, </w:t>
      </w:r>
      <w:r w:rsidR="00280063">
        <w:rPr>
          <w:rFonts w:cs="Times New Roman"/>
          <w:sz w:val="22"/>
        </w:rPr>
        <w:t xml:space="preserve">se sembró en </w:t>
      </w:r>
      <w:r w:rsidRPr="008A13D2">
        <w:rPr>
          <w:rFonts w:cs="Times New Roman"/>
          <w:sz w:val="22"/>
        </w:rPr>
        <w:t xml:space="preserve"> matraces que contenían medio MS en condiciones de asepsia, posteriormente se dejó en  agitación durante siete días  a temperatura ambiente,  promedio 20 ºC</w:t>
      </w:r>
      <w:r>
        <w:rPr>
          <w:rFonts w:cs="Times New Roman"/>
          <w:sz w:val="22"/>
        </w:rPr>
        <w:t>,</w:t>
      </w:r>
      <w:r w:rsidRPr="008A13D2">
        <w:rPr>
          <w:rFonts w:cs="Times New Roman"/>
          <w:sz w:val="22"/>
        </w:rPr>
        <w:t xml:space="preserve">  trans</w:t>
      </w:r>
      <w:r w:rsidR="001026C3">
        <w:rPr>
          <w:rFonts w:cs="Times New Roman"/>
          <w:sz w:val="22"/>
        </w:rPr>
        <w:t xml:space="preserve">currido este tiempo se sembro </w:t>
      </w:r>
      <w:r w:rsidRPr="008A13D2">
        <w:rPr>
          <w:rFonts w:cs="Times New Roman"/>
          <w:sz w:val="22"/>
        </w:rPr>
        <w:t>en T</w:t>
      </w:r>
      <w:r w:rsidR="001026C3">
        <w:rPr>
          <w:rFonts w:cs="Times New Roman"/>
          <w:sz w:val="22"/>
        </w:rPr>
        <w:t xml:space="preserve">SA, </w:t>
      </w:r>
      <w:r w:rsidRPr="008A13D2">
        <w:rPr>
          <w:rFonts w:cs="Times New Roman"/>
          <w:sz w:val="22"/>
        </w:rPr>
        <w:t>para hacer el conteo de la población bacteriana</w:t>
      </w:r>
      <w:r>
        <w:rPr>
          <w:rFonts w:cs="Times New Roman"/>
          <w:sz w:val="22"/>
        </w:rPr>
        <w:t>.</w:t>
      </w:r>
    </w:p>
    <w:p w:rsidR="005129CD" w:rsidRDefault="005129CD" w:rsidP="00580136">
      <w:pPr>
        <w:spacing w:after="0" w:line="360" w:lineRule="auto"/>
        <w:jc w:val="both"/>
        <w:rPr>
          <w:rFonts w:cs="Times New Roman"/>
          <w:b/>
          <w:i/>
          <w:sz w:val="22"/>
        </w:rPr>
      </w:pPr>
      <w:r w:rsidRPr="005129CD">
        <w:rPr>
          <w:rFonts w:cs="Times New Roman"/>
          <w:b/>
          <w:i/>
          <w:sz w:val="22"/>
        </w:rPr>
        <w:t xml:space="preserve">Fase II: </w:t>
      </w:r>
      <w:r w:rsidR="00016BBF">
        <w:rPr>
          <w:rFonts w:cs="Times New Roman"/>
          <w:b/>
          <w:i/>
          <w:sz w:val="22"/>
        </w:rPr>
        <w:t>bio</w:t>
      </w:r>
      <w:r w:rsidRPr="005129CD">
        <w:rPr>
          <w:rFonts w:cs="Times New Roman"/>
          <w:b/>
          <w:i/>
          <w:sz w:val="22"/>
        </w:rPr>
        <w:t xml:space="preserve">ensayos en invernadero </w:t>
      </w:r>
    </w:p>
    <w:p w:rsidR="008A13D2" w:rsidRDefault="00AA351C" w:rsidP="00580136">
      <w:pPr>
        <w:spacing w:after="0" w:line="360" w:lineRule="auto"/>
        <w:jc w:val="both"/>
        <w:rPr>
          <w:rFonts w:cs="Times New Roman"/>
          <w:sz w:val="22"/>
          <w:lang w:eastAsia="es-ES"/>
        </w:rPr>
      </w:pPr>
      <w:r w:rsidRPr="00AA351C">
        <w:rPr>
          <w:rFonts w:cs="Times New Roman"/>
          <w:sz w:val="22"/>
        </w:rPr>
        <w:t>La evaluación de las cepas tipo</w:t>
      </w:r>
      <w:r>
        <w:rPr>
          <w:rFonts w:cs="Times New Roman"/>
          <w:b/>
          <w:i/>
          <w:sz w:val="22"/>
        </w:rPr>
        <w:t xml:space="preserve"> </w:t>
      </w:r>
      <w:r w:rsidRPr="00AA351C">
        <w:rPr>
          <w:rFonts w:cs="Times New Roman"/>
          <w:i/>
          <w:sz w:val="22"/>
        </w:rPr>
        <w:t>Bacillus</w:t>
      </w:r>
      <w:r>
        <w:rPr>
          <w:rFonts w:cs="Times New Roman"/>
          <w:i/>
          <w:sz w:val="22"/>
        </w:rPr>
        <w:t xml:space="preserve"> </w:t>
      </w:r>
      <w:r w:rsidRPr="00AA351C">
        <w:rPr>
          <w:rFonts w:cs="Times New Roman"/>
          <w:sz w:val="22"/>
        </w:rPr>
        <w:t>seleccionadas</w:t>
      </w:r>
      <w:r w:rsidRPr="00AA351C">
        <w:rPr>
          <w:rFonts w:cs="Times New Roman"/>
          <w:i/>
          <w:sz w:val="22"/>
        </w:rPr>
        <w:t xml:space="preserve"> </w:t>
      </w:r>
      <w:r>
        <w:rPr>
          <w:rFonts w:cs="Times New Roman"/>
          <w:sz w:val="22"/>
        </w:rPr>
        <w:t xml:space="preserve">se realizó en plantines de </w:t>
      </w:r>
      <w:r w:rsidRPr="00AA351C">
        <w:rPr>
          <w:rFonts w:cs="Times New Roman"/>
          <w:i/>
          <w:sz w:val="22"/>
        </w:rPr>
        <w:t>Jacaranda mimosifolia</w:t>
      </w:r>
      <w:r w:rsidR="00280063">
        <w:rPr>
          <w:rFonts w:cs="Times New Roman"/>
          <w:i/>
          <w:sz w:val="22"/>
        </w:rPr>
        <w:t xml:space="preserve">. </w:t>
      </w:r>
      <w:r w:rsidR="00561073" w:rsidRPr="00AA351C">
        <w:rPr>
          <w:rFonts w:cs="Times New Roman"/>
          <w:sz w:val="22"/>
          <w:lang w:eastAsia="es-ES"/>
        </w:rPr>
        <w:t xml:space="preserve">Se </w:t>
      </w:r>
      <w:r w:rsidRPr="00AA351C">
        <w:rPr>
          <w:rFonts w:cs="Times New Roman"/>
          <w:sz w:val="22"/>
          <w:lang w:eastAsia="es-ES"/>
        </w:rPr>
        <w:t>utilizó</w:t>
      </w:r>
      <w:r w:rsidR="00561073" w:rsidRPr="00AA351C">
        <w:rPr>
          <w:rFonts w:cs="Times New Roman"/>
          <w:sz w:val="22"/>
          <w:lang w:eastAsia="es-ES"/>
        </w:rPr>
        <w:t xml:space="preserve"> un sustrato compuesto por arcilla</w:t>
      </w:r>
      <w:r w:rsidR="00280063">
        <w:rPr>
          <w:rFonts w:cs="Times New Roman"/>
          <w:sz w:val="22"/>
          <w:lang w:eastAsia="es-ES"/>
        </w:rPr>
        <w:t>,</w:t>
      </w:r>
      <w:r w:rsidR="00561073" w:rsidRPr="00AA351C">
        <w:rPr>
          <w:rFonts w:cs="Times New Roman"/>
          <w:sz w:val="22"/>
          <w:lang w:eastAsia="es-ES"/>
        </w:rPr>
        <w:t xml:space="preserve"> arena y materia</w:t>
      </w:r>
      <w:r>
        <w:rPr>
          <w:rFonts w:cs="Times New Roman"/>
          <w:sz w:val="22"/>
          <w:lang w:eastAsia="es-ES"/>
        </w:rPr>
        <w:t xml:space="preserve"> </w:t>
      </w:r>
      <w:r w:rsidRPr="00AA351C">
        <w:rPr>
          <w:rFonts w:cs="Times New Roman"/>
          <w:sz w:val="22"/>
          <w:lang w:eastAsia="es-ES"/>
        </w:rPr>
        <w:t>orgánica</w:t>
      </w:r>
      <w:r w:rsidR="00561073" w:rsidRPr="00AA351C">
        <w:rPr>
          <w:rFonts w:cs="Times New Roman"/>
          <w:sz w:val="22"/>
          <w:lang w:eastAsia="es-ES"/>
        </w:rPr>
        <w:t xml:space="preserve"> en proporción (1-1-1)</w:t>
      </w:r>
      <w:r>
        <w:rPr>
          <w:rFonts w:cs="Times New Roman"/>
          <w:sz w:val="22"/>
          <w:lang w:eastAsia="es-ES"/>
        </w:rPr>
        <w:t xml:space="preserve"> con pH 7.8 y  dispuesto en macetas de 6 kg. </w:t>
      </w:r>
    </w:p>
    <w:p w:rsidR="00280063" w:rsidRPr="005877CE" w:rsidRDefault="005877CE" w:rsidP="00580136">
      <w:pPr>
        <w:spacing w:after="0" w:line="360" w:lineRule="auto"/>
        <w:jc w:val="both"/>
        <w:rPr>
          <w:rFonts w:cs="Times New Roman"/>
          <w:b/>
          <w:sz w:val="22"/>
          <w:lang w:eastAsia="es-ES"/>
        </w:rPr>
      </w:pPr>
      <w:r w:rsidRPr="005877CE">
        <w:rPr>
          <w:rFonts w:cs="Times New Roman"/>
          <w:b/>
          <w:sz w:val="22"/>
          <w:lang w:eastAsia="es-ES"/>
        </w:rPr>
        <w:t>Inoculación</w:t>
      </w:r>
      <w:r w:rsidR="00280063" w:rsidRPr="005877CE">
        <w:rPr>
          <w:rFonts w:cs="Times New Roman"/>
          <w:b/>
          <w:sz w:val="22"/>
          <w:lang w:eastAsia="es-ES"/>
        </w:rPr>
        <w:t xml:space="preserve"> de plantines </w:t>
      </w:r>
    </w:p>
    <w:p w:rsidR="001234BA" w:rsidRPr="00580136" w:rsidRDefault="00F913D6" w:rsidP="00580136">
      <w:pPr>
        <w:spacing w:after="0" w:line="360" w:lineRule="auto"/>
        <w:jc w:val="both"/>
        <w:rPr>
          <w:rFonts w:cs="Times New Roman"/>
          <w:sz w:val="22"/>
          <w:lang w:eastAsia="es-ES"/>
        </w:rPr>
      </w:pPr>
      <w:r>
        <w:rPr>
          <w:rFonts w:cs="Times New Roman"/>
          <w:sz w:val="22"/>
        </w:rPr>
        <w:t>Previo a la inoculación,</w:t>
      </w:r>
      <w:r w:rsidR="00280063" w:rsidRPr="00280063">
        <w:rPr>
          <w:rFonts w:cs="Times New Roman"/>
          <w:sz w:val="22"/>
        </w:rPr>
        <w:t xml:space="preserve"> </w:t>
      </w:r>
      <w:r>
        <w:rPr>
          <w:rFonts w:cs="Times New Roman"/>
          <w:sz w:val="22"/>
        </w:rPr>
        <w:t xml:space="preserve">se estandarizo la población bacteriana a </w:t>
      </w:r>
      <w:r w:rsidR="00280063">
        <w:rPr>
          <w:rFonts w:cs="Times New Roman"/>
          <w:sz w:val="22"/>
        </w:rPr>
        <w:t>1</w:t>
      </w:r>
      <w:r w:rsidR="00280063" w:rsidRPr="00280063">
        <w:rPr>
          <w:rFonts w:cs="Times New Roman"/>
          <w:sz w:val="22"/>
        </w:rPr>
        <w:t>x10</w:t>
      </w:r>
      <w:r w:rsidR="00280063" w:rsidRPr="00280063">
        <w:rPr>
          <w:rFonts w:cs="Times New Roman"/>
          <w:sz w:val="22"/>
          <w:vertAlign w:val="superscript"/>
        </w:rPr>
        <w:t>9</w:t>
      </w:r>
      <w:r w:rsidR="00280063" w:rsidRPr="00280063">
        <w:rPr>
          <w:rFonts w:cs="Times New Roman"/>
          <w:sz w:val="22"/>
        </w:rPr>
        <w:t xml:space="preserve"> UFC</w:t>
      </w:r>
      <w:r w:rsidR="00280063" w:rsidRPr="00280063">
        <w:rPr>
          <w:rFonts w:cs="Times New Roman"/>
          <w:i/>
          <w:iCs/>
          <w:sz w:val="22"/>
        </w:rPr>
        <w:t xml:space="preserve">. </w:t>
      </w:r>
      <w:r w:rsidR="00280063" w:rsidRPr="00280063">
        <w:rPr>
          <w:rFonts w:cs="Times New Roman"/>
          <w:iCs/>
          <w:sz w:val="22"/>
        </w:rPr>
        <w:t>La inoc</w:t>
      </w:r>
      <w:r w:rsidR="00232B72">
        <w:rPr>
          <w:rFonts w:cs="Times New Roman"/>
          <w:iCs/>
          <w:sz w:val="22"/>
        </w:rPr>
        <w:t xml:space="preserve">ulación se realizó </w:t>
      </w:r>
      <w:r w:rsidR="00280063" w:rsidRPr="00280063">
        <w:rPr>
          <w:rFonts w:cs="Times New Roman"/>
          <w:iCs/>
          <w:sz w:val="22"/>
        </w:rPr>
        <w:t>después de haber observado un pre</w:t>
      </w:r>
      <w:r w:rsidR="00232B72">
        <w:rPr>
          <w:rFonts w:cs="Times New Roman"/>
          <w:iCs/>
          <w:sz w:val="22"/>
        </w:rPr>
        <w:t>ndimiento del 100%</w:t>
      </w:r>
      <w:r w:rsidR="00280063" w:rsidRPr="00280063">
        <w:rPr>
          <w:rFonts w:cs="Times New Roman"/>
          <w:iCs/>
          <w:sz w:val="22"/>
        </w:rPr>
        <w:t xml:space="preserve">. Para la incorporación de roca fosfórica (RF) se realizó un surco de 5 cm de profundidad alrededor de la planta donde se aplicaron 6 gramos de RF y se añadió 1 ml de la solución bacteriana, se procedió a realizar una </w:t>
      </w:r>
      <w:r w:rsidR="005877CE">
        <w:rPr>
          <w:rFonts w:cs="Times New Roman"/>
          <w:iCs/>
          <w:sz w:val="22"/>
        </w:rPr>
        <w:t>remo</w:t>
      </w:r>
      <w:r w:rsidR="005877CE" w:rsidRPr="00280063">
        <w:rPr>
          <w:rFonts w:cs="Times New Roman"/>
          <w:iCs/>
          <w:sz w:val="22"/>
        </w:rPr>
        <w:t>ción</w:t>
      </w:r>
      <w:r w:rsidR="00280063" w:rsidRPr="00280063">
        <w:rPr>
          <w:rFonts w:cs="Times New Roman"/>
          <w:iCs/>
          <w:sz w:val="22"/>
        </w:rPr>
        <w:t xml:space="preserve"> en el área y se tapó con sustrato el área de aplicación. </w:t>
      </w:r>
    </w:p>
    <w:p w:rsidR="001234BA" w:rsidRPr="00E1653B" w:rsidRDefault="00E1653B" w:rsidP="00580136">
      <w:pPr>
        <w:spacing w:after="0" w:line="360" w:lineRule="auto"/>
        <w:jc w:val="both"/>
        <w:rPr>
          <w:rFonts w:cs="Times New Roman"/>
          <w:b/>
          <w:sz w:val="22"/>
          <w:lang w:eastAsia="es-ES"/>
        </w:rPr>
      </w:pPr>
      <w:r w:rsidRPr="00E1653B">
        <w:rPr>
          <w:rFonts w:cs="Times New Roman"/>
          <w:b/>
          <w:sz w:val="22"/>
          <w:lang w:eastAsia="es-ES"/>
        </w:rPr>
        <w:t>Análisis de datos</w:t>
      </w:r>
    </w:p>
    <w:p w:rsidR="004158CE" w:rsidRPr="00580136" w:rsidRDefault="00393D3C" w:rsidP="00580136">
      <w:pPr>
        <w:spacing w:after="0" w:line="360" w:lineRule="auto"/>
        <w:jc w:val="both"/>
        <w:rPr>
          <w:rFonts w:cs="Times New Roman"/>
          <w:sz w:val="22"/>
          <w:lang w:eastAsia="es-ES"/>
        </w:rPr>
      </w:pPr>
      <w:r w:rsidRPr="004158CE">
        <w:rPr>
          <w:rFonts w:cs="Times New Roman"/>
          <w:sz w:val="22"/>
          <w:lang w:eastAsia="es-ES"/>
        </w:rPr>
        <w:t xml:space="preserve">Los tratamientos fueron evaluados bajo un diseño completamente aleatorio (DCA), donde se evaluaron 15 cepas bacterianas tipo </w:t>
      </w:r>
      <w:r w:rsidRPr="004158CE">
        <w:rPr>
          <w:rFonts w:cs="Times New Roman"/>
          <w:i/>
          <w:sz w:val="22"/>
          <w:lang w:eastAsia="es-ES"/>
        </w:rPr>
        <w:t>Bacillus</w:t>
      </w:r>
      <w:r w:rsidRPr="004158CE">
        <w:rPr>
          <w:rFonts w:cs="Times New Roman"/>
          <w:sz w:val="22"/>
          <w:lang w:eastAsia="es-ES"/>
        </w:rPr>
        <w:t xml:space="preserve">, un testigo absoluto (T0), un testigo solo con roca fosfórica sin microorganismos (T1) y un testigo </w:t>
      </w:r>
      <w:r w:rsidRPr="004158CE">
        <w:rPr>
          <w:rFonts w:cs="Times New Roman"/>
          <w:sz w:val="22"/>
          <w:lang w:eastAsia="es-ES"/>
        </w:rPr>
        <w:lastRenderedPageBreak/>
        <w:t>de cepas comerciales en combinación con y sin roca fosfórica (T33,T34) con 3 repeticiones. Cada tratamiento estuvo constituido por una maceta que contiene una sola planta.</w:t>
      </w:r>
      <w:r w:rsidRPr="004158CE">
        <w:rPr>
          <w:rFonts w:cs="Times New Roman"/>
          <w:b/>
          <w:sz w:val="22"/>
          <w:lang w:eastAsia="es-ES"/>
        </w:rPr>
        <w:t xml:space="preserve"> </w:t>
      </w:r>
      <w:r w:rsidRPr="004158CE">
        <w:rPr>
          <w:rFonts w:cs="Times New Roman"/>
          <w:sz w:val="22"/>
          <w:lang w:eastAsia="es-ES"/>
        </w:rPr>
        <w:t>Los datos fueron analizados con el PR</w:t>
      </w:r>
      <w:r w:rsidR="00D323D6">
        <w:rPr>
          <w:rFonts w:cs="Times New Roman"/>
          <w:sz w:val="22"/>
          <w:lang w:eastAsia="es-ES"/>
        </w:rPr>
        <w:t>OC GLM del SAS versión 8.2</w:t>
      </w:r>
      <w:r w:rsidRPr="004158CE">
        <w:rPr>
          <w:rFonts w:cs="Times New Roman"/>
          <w:sz w:val="22"/>
          <w:lang w:eastAsia="es-ES"/>
        </w:rPr>
        <w:t>.</w:t>
      </w:r>
    </w:p>
    <w:p w:rsidR="00393D3C" w:rsidRPr="00580136" w:rsidRDefault="00580136" w:rsidP="00580136">
      <w:pPr>
        <w:pStyle w:val="Prrafodelista"/>
        <w:numPr>
          <w:ilvl w:val="0"/>
          <w:numId w:val="4"/>
        </w:numPr>
        <w:spacing w:after="0" w:line="360" w:lineRule="auto"/>
        <w:rPr>
          <w:rFonts w:cs="Times New Roman"/>
          <w:b/>
          <w:szCs w:val="24"/>
          <w:lang w:eastAsia="es-ES"/>
        </w:rPr>
      </w:pPr>
      <w:r w:rsidRPr="00580136">
        <w:rPr>
          <w:rFonts w:cs="Times New Roman"/>
          <w:b/>
          <w:szCs w:val="24"/>
          <w:lang w:eastAsia="es-ES"/>
        </w:rPr>
        <w:t xml:space="preserve">RESULTADOS Y DISCUSIÓN </w:t>
      </w:r>
      <w:bookmarkStart w:id="3" w:name="_Toc103032046"/>
      <w:bookmarkStart w:id="4" w:name="_Toc106107703"/>
    </w:p>
    <w:p w:rsidR="00393D3C" w:rsidRPr="00393D3C" w:rsidRDefault="00393D3C" w:rsidP="00580136">
      <w:pPr>
        <w:spacing w:after="0" w:line="360" w:lineRule="auto"/>
        <w:jc w:val="both"/>
        <w:rPr>
          <w:rStyle w:val="Ttulo2Car"/>
          <w:rFonts w:ascii="Times New Roman" w:eastAsiaTheme="minorHAnsi" w:hAnsi="Times New Roman" w:cs="Times New Roman"/>
          <w:b/>
          <w:color w:val="auto"/>
          <w:sz w:val="22"/>
          <w:szCs w:val="22"/>
          <w:lang w:eastAsia="es-ES"/>
        </w:rPr>
      </w:pPr>
      <w:r w:rsidRPr="00393D3C">
        <w:rPr>
          <w:rStyle w:val="Ttulo2Car"/>
          <w:rFonts w:ascii="Times New Roman" w:hAnsi="Times New Roman" w:cs="Times New Roman"/>
          <w:b/>
          <w:color w:val="000000" w:themeColor="text1"/>
          <w:sz w:val="22"/>
          <w:szCs w:val="22"/>
        </w:rPr>
        <w:t xml:space="preserve">Fase I: Selección </w:t>
      </w:r>
      <w:r w:rsidRPr="00393D3C">
        <w:rPr>
          <w:rStyle w:val="Ttulo2Car"/>
          <w:rFonts w:ascii="Times New Roman" w:hAnsi="Times New Roman" w:cs="Times New Roman"/>
          <w:b/>
          <w:i/>
          <w:color w:val="000000" w:themeColor="text1"/>
          <w:sz w:val="22"/>
          <w:szCs w:val="22"/>
        </w:rPr>
        <w:t>in vitro</w:t>
      </w:r>
      <w:bookmarkEnd w:id="3"/>
      <w:bookmarkEnd w:id="4"/>
    </w:p>
    <w:p w:rsidR="001F3CD1" w:rsidRDefault="00393D3C" w:rsidP="00580136">
      <w:pPr>
        <w:spacing w:line="360" w:lineRule="auto"/>
        <w:jc w:val="both"/>
        <w:rPr>
          <w:rFonts w:cs="Times New Roman"/>
          <w:sz w:val="22"/>
          <w:lang w:eastAsia="es-ES"/>
        </w:rPr>
      </w:pPr>
      <w:bookmarkStart w:id="5" w:name="_Toc103543695"/>
      <w:bookmarkStart w:id="6" w:name="_Toc103545185"/>
      <w:bookmarkStart w:id="7" w:name="_Toc103545454"/>
      <w:bookmarkStart w:id="8" w:name="_Toc103547867"/>
      <w:bookmarkStart w:id="9" w:name="_Toc105746045"/>
      <w:bookmarkStart w:id="10" w:name="_Toc105746586"/>
      <w:bookmarkStart w:id="11" w:name="_Toc106107704"/>
      <w:r w:rsidRPr="00393D3C">
        <w:rPr>
          <w:rStyle w:val="Ttulo2Car"/>
          <w:rFonts w:ascii="Times New Roman" w:hAnsi="Times New Roman" w:cs="Times New Roman"/>
          <w:color w:val="000000" w:themeColor="text1"/>
          <w:sz w:val="22"/>
          <w:szCs w:val="22"/>
        </w:rPr>
        <w:t>En la primera fase se logró aislar un total de 35 cepas bacterianas a partir de segmentos de raíces de</w:t>
      </w:r>
      <w:bookmarkEnd w:id="5"/>
      <w:bookmarkEnd w:id="6"/>
      <w:bookmarkEnd w:id="7"/>
      <w:bookmarkEnd w:id="8"/>
      <w:bookmarkEnd w:id="9"/>
      <w:bookmarkEnd w:id="10"/>
      <w:bookmarkEnd w:id="11"/>
      <w:r w:rsidRPr="00393D3C">
        <w:rPr>
          <w:rStyle w:val="Ttulo2Car"/>
          <w:rFonts w:ascii="Times New Roman" w:hAnsi="Times New Roman" w:cs="Times New Roman"/>
          <w:color w:val="000000" w:themeColor="text1"/>
          <w:sz w:val="22"/>
          <w:szCs w:val="22"/>
        </w:rPr>
        <w:t xml:space="preserve"> </w:t>
      </w:r>
      <w:r w:rsidRPr="00393D3C">
        <w:rPr>
          <w:rFonts w:cs="Times New Roman"/>
          <w:sz w:val="22"/>
          <w:lang w:eastAsia="es-ES"/>
        </w:rPr>
        <w:t>ceibo (</w:t>
      </w:r>
      <w:r w:rsidRPr="00393D3C">
        <w:rPr>
          <w:rFonts w:cs="Times New Roman"/>
          <w:bCs/>
          <w:i/>
          <w:iCs/>
          <w:color w:val="202122"/>
          <w:sz w:val="22"/>
          <w:shd w:val="clear" w:color="auto" w:fill="FFFFFF"/>
        </w:rPr>
        <w:t>Erythrina falcata</w:t>
      </w:r>
      <w:r w:rsidRPr="00393D3C">
        <w:rPr>
          <w:rFonts w:cs="Times New Roman"/>
          <w:sz w:val="22"/>
          <w:lang w:eastAsia="es-ES"/>
        </w:rPr>
        <w:t>), molle (</w:t>
      </w:r>
      <w:r w:rsidRPr="00393D3C">
        <w:rPr>
          <w:rFonts w:cs="Times New Roman"/>
          <w:bCs/>
          <w:i/>
          <w:iCs/>
          <w:color w:val="202122"/>
          <w:sz w:val="22"/>
          <w:shd w:val="clear" w:color="auto" w:fill="FFFFFF"/>
        </w:rPr>
        <w:t>Schinus molle</w:t>
      </w:r>
      <w:r w:rsidRPr="00393D3C">
        <w:rPr>
          <w:rFonts w:cs="Times New Roman"/>
          <w:sz w:val="22"/>
          <w:lang w:eastAsia="es-ES"/>
        </w:rPr>
        <w:t>) y algarrobo (</w:t>
      </w:r>
      <w:r w:rsidRPr="00393D3C">
        <w:rPr>
          <w:rFonts w:cs="Times New Roman"/>
          <w:i/>
          <w:sz w:val="22"/>
        </w:rPr>
        <w:t>Prosopis alba</w:t>
      </w:r>
      <w:r w:rsidRPr="00393D3C">
        <w:rPr>
          <w:rFonts w:cs="Times New Roman"/>
          <w:sz w:val="22"/>
          <w:lang w:eastAsia="es-ES"/>
        </w:rPr>
        <w:t>)</w:t>
      </w:r>
      <w:r>
        <w:rPr>
          <w:rFonts w:cs="Times New Roman"/>
          <w:sz w:val="22"/>
          <w:lang w:eastAsia="es-ES"/>
        </w:rPr>
        <w:t xml:space="preserve"> </w:t>
      </w:r>
      <w:r w:rsidRPr="00393D3C">
        <w:rPr>
          <w:rFonts w:cs="Times New Roman"/>
          <w:sz w:val="22"/>
          <w:lang w:eastAsia="es-ES"/>
        </w:rPr>
        <w:t xml:space="preserve"> </w:t>
      </w:r>
      <w:r w:rsidR="005D342D">
        <w:rPr>
          <w:rFonts w:cs="Times New Roman"/>
          <w:sz w:val="22"/>
          <w:lang w:eastAsia="es-ES"/>
        </w:rPr>
        <w:t>(cuadro 1</w:t>
      </w:r>
      <w:r>
        <w:rPr>
          <w:rFonts w:cs="Times New Roman"/>
          <w:sz w:val="22"/>
          <w:lang w:eastAsia="es-ES"/>
        </w:rPr>
        <w:t>).</w:t>
      </w:r>
      <w:r w:rsidR="005D342D">
        <w:rPr>
          <w:rFonts w:cs="Times New Roman"/>
          <w:sz w:val="22"/>
          <w:lang w:eastAsia="es-ES"/>
        </w:rPr>
        <w:t xml:space="preserve"> Las cuales fueron sometidas al shock térmico, que permitió seleccionar 25 cepas como posibles </w:t>
      </w:r>
      <w:r w:rsidR="005D342D" w:rsidRPr="005D342D">
        <w:rPr>
          <w:rFonts w:cs="Times New Roman"/>
          <w:i/>
          <w:sz w:val="22"/>
          <w:lang w:eastAsia="es-ES"/>
        </w:rPr>
        <w:t>Bacillus</w:t>
      </w:r>
      <w:r w:rsidR="005D342D">
        <w:rPr>
          <w:rFonts w:cs="Times New Roman"/>
          <w:sz w:val="22"/>
          <w:lang w:eastAsia="es-ES"/>
        </w:rPr>
        <w:t xml:space="preserve"> (cuadro 1).</w:t>
      </w:r>
    </w:p>
    <w:p w:rsidR="00A45FA8" w:rsidRPr="00580136" w:rsidRDefault="00A45FA8" w:rsidP="00393D3C">
      <w:pPr>
        <w:spacing w:line="257" w:lineRule="auto"/>
        <w:jc w:val="both"/>
        <w:rPr>
          <w:rFonts w:cs="Times New Roman"/>
          <w:sz w:val="22"/>
          <w:lang w:eastAsia="es-ES"/>
        </w:rPr>
      </w:pPr>
      <w:r w:rsidRPr="00580136">
        <w:rPr>
          <w:rFonts w:cs="Times New Roman"/>
          <w:b/>
          <w:sz w:val="22"/>
          <w:lang w:eastAsia="es-ES"/>
        </w:rPr>
        <w:t>Cuadro</w:t>
      </w:r>
      <w:r w:rsidR="00580136">
        <w:rPr>
          <w:rFonts w:cs="Times New Roman"/>
          <w:b/>
          <w:sz w:val="22"/>
          <w:lang w:eastAsia="es-ES"/>
        </w:rPr>
        <w:t xml:space="preserve"> </w:t>
      </w:r>
      <w:r w:rsidRPr="00580136">
        <w:rPr>
          <w:rFonts w:cs="Times New Roman"/>
          <w:b/>
          <w:sz w:val="22"/>
          <w:lang w:eastAsia="es-ES"/>
        </w:rPr>
        <w:t>1</w:t>
      </w:r>
      <w:r w:rsidRPr="00580136">
        <w:rPr>
          <w:rFonts w:cs="Times New Roman"/>
          <w:sz w:val="22"/>
          <w:lang w:eastAsia="es-ES"/>
        </w:rPr>
        <w:t>. Colonias termoresistentes</w:t>
      </w:r>
    </w:p>
    <w:tbl>
      <w:tblPr>
        <w:tblStyle w:val="Tablanormal2"/>
        <w:tblW w:w="0" w:type="auto"/>
        <w:tblLook w:val="04A0" w:firstRow="1" w:lastRow="0" w:firstColumn="1" w:lastColumn="0" w:noHBand="0" w:noVBand="1"/>
      </w:tblPr>
      <w:tblGrid>
        <w:gridCol w:w="1283"/>
        <w:gridCol w:w="861"/>
        <w:gridCol w:w="2109"/>
      </w:tblGrid>
      <w:tr w:rsidR="005D342D" w:rsidRPr="005D342D" w:rsidTr="00A45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shd w:val="clear" w:color="auto" w:fill="E7E6E6" w:themeFill="background2"/>
          </w:tcPr>
          <w:p w:rsidR="005D342D" w:rsidRPr="005D342D" w:rsidRDefault="005D342D" w:rsidP="008F18FD">
            <w:pPr>
              <w:spacing w:line="276" w:lineRule="auto"/>
              <w:jc w:val="center"/>
              <w:rPr>
                <w:rFonts w:cs="Times New Roman"/>
                <w:b w:val="0"/>
                <w:sz w:val="20"/>
                <w:szCs w:val="20"/>
                <w:lang w:eastAsia="es-ES"/>
              </w:rPr>
            </w:pPr>
            <w:r w:rsidRPr="005D342D">
              <w:rPr>
                <w:rFonts w:cs="Times New Roman"/>
                <w:b w:val="0"/>
                <w:sz w:val="20"/>
                <w:szCs w:val="20"/>
                <w:lang w:eastAsia="es-ES"/>
              </w:rPr>
              <w:t>Especie forestal</w:t>
            </w:r>
          </w:p>
        </w:tc>
        <w:tc>
          <w:tcPr>
            <w:tcW w:w="861" w:type="dxa"/>
            <w:shd w:val="clear" w:color="auto" w:fill="E7E6E6" w:themeFill="background2"/>
          </w:tcPr>
          <w:p w:rsidR="005D342D" w:rsidRPr="005D342D" w:rsidRDefault="005D342D" w:rsidP="008F18FD">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0"/>
                <w:szCs w:val="20"/>
                <w:lang w:eastAsia="es-ES"/>
              </w:rPr>
            </w:pPr>
            <w:r w:rsidRPr="005D342D">
              <w:rPr>
                <w:rFonts w:cs="Times New Roman"/>
                <w:b w:val="0"/>
                <w:sz w:val="20"/>
                <w:szCs w:val="20"/>
                <w:lang w:eastAsia="es-ES"/>
              </w:rPr>
              <w:t>Total de aislados</w:t>
            </w:r>
          </w:p>
        </w:tc>
        <w:tc>
          <w:tcPr>
            <w:tcW w:w="2109" w:type="dxa"/>
            <w:shd w:val="clear" w:color="auto" w:fill="E7E6E6" w:themeFill="background2"/>
          </w:tcPr>
          <w:p w:rsidR="005D342D" w:rsidRPr="005D342D" w:rsidRDefault="005D342D" w:rsidP="008F18FD">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0"/>
                <w:szCs w:val="20"/>
                <w:lang w:eastAsia="es-ES"/>
              </w:rPr>
            </w:pPr>
            <w:r w:rsidRPr="005D342D">
              <w:rPr>
                <w:rFonts w:cs="Times New Roman"/>
                <w:b w:val="0"/>
                <w:sz w:val="20"/>
                <w:szCs w:val="20"/>
                <w:lang w:eastAsia="es-ES"/>
              </w:rPr>
              <w:t>Aislados termor</w:t>
            </w:r>
            <w:r w:rsidR="00A45FA8">
              <w:rPr>
                <w:rFonts w:cs="Times New Roman"/>
                <w:b w:val="0"/>
                <w:sz w:val="20"/>
                <w:szCs w:val="20"/>
                <w:lang w:eastAsia="es-ES"/>
              </w:rPr>
              <w:t>r</w:t>
            </w:r>
            <w:r w:rsidRPr="005D342D">
              <w:rPr>
                <w:rFonts w:cs="Times New Roman"/>
                <w:b w:val="0"/>
                <w:sz w:val="20"/>
                <w:szCs w:val="20"/>
                <w:lang w:eastAsia="es-ES"/>
              </w:rPr>
              <w:t>esistentes</w:t>
            </w:r>
          </w:p>
        </w:tc>
      </w:tr>
      <w:tr w:rsidR="005D342D" w:rsidRPr="005D342D" w:rsidTr="00A45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tcPr>
          <w:p w:rsidR="005D342D" w:rsidRPr="005D342D" w:rsidRDefault="005D342D" w:rsidP="008F18FD">
            <w:pPr>
              <w:spacing w:line="276" w:lineRule="auto"/>
              <w:jc w:val="center"/>
              <w:rPr>
                <w:rFonts w:cs="Times New Roman"/>
                <w:sz w:val="20"/>
                <w:szCs w:val="20"/>
                <w:lang w:eastAsia="es-ES"/>
              </w:rPr>
            </w:pPr>
            <w:r w:rsidRPr="005D342D">
              <w:rPr>
                <w:rFonts w:cs="Times New Roman"/>
                <w:sz w:val="20"/>
                <w:szCs w:val="20"/>
                <w:lang w:eastAsia="es-ES"/>
              </w:rPr>
              <w:t>Ceibo</w:t>
            </w:r>
          </w:p>
        </w:tc>
        <w:tc>
          <w:tcPr>
            <w:tcW w:w="861" w:type="dxa"/>
          </w:tcPr>
          <w:p w:rsidR="005D342D" w:rsidRPr="005D342D" w:rsidRDefault="005D342D" w:rsidP="008F18F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es-ES"/>
              </w:rPr>
            </w:pPr>
            <w:r w:rsidRPr="005D342D">
              <w:rPr>
                <w:rFonts w:cs="Times New Roman"/>
                <w:sz w:val="20"/>
                <w:szCs w:val="20"/>
                <w:lang w:eastAsia="es-ES"/>
              </w:rPr>
              <w:t>14</w:t>
            </w:r>
          </w:p>
        </w:tc>
        <w:tc>
          <w:tcPr>
            <w:tcW w:w="2109" w:type="dxa"/>
          </w:tcPr>
          <w:p w:rsidR="005D342D" w:rsidRPr="005D342D" w:rsidRDefault="005D342D" w:rsidP="008F18F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eastAsia="es-ES"/>
              </w:rPr>
            </w:pPr>
            <w:r w:rsidRPr="005D342D">
              <w:rPr>
                <w:rFonts w:cs="Times New Roman"/>
                <w:sz w:val="20"/>
                <w:szCs w:val="20"/>
                <w:lang w:eastAsia="es-ES"/>
              </w:rPr>
              <w:t>B1, B2, B3, B4, B5, B6, B7, B8, B9, B10.</w:t>
            </w:r>
          </w:p>
        </w:tc>
      </w:tr>
      <w:tr w:rsidR="005D342D" w:rsidRPr="005D342D" w:rsidTr="00A45FA8">
        <w:tc>
          <w:tcPr>
            <w:cnfStyle w:val="001000000000" w:firstRow="0" w:lastRow="0" w:firstColumn="1" w:lastColumn="0" w:oddVBand="0" w:evenVBand="0" w:oddHBand="0" w:evenHBand="0" w:firstRowFirstColumn="0" w:firstRowLastColumn="0" w:lastRowFirstColumn="0" w:lastRowLastColumn="0"/>
            <w:tcW w:w="1283" w:type="dxa"/>
          </w:tcPr>
          <w:p w:rsidR="005D342D" w:rsidRPr="005D342D" w:rsidRDefault="005D342D" w:rsidP="008F18FD">
            <w:pPr>
              <w:spacing w:line="276" w:lineRule="auto"/>
              <w:jc w:val="center"/>
              <w:rPr>
                <w:rFonts w:cs="Times New Roman"/>
                <w:sz w:val="20"/>
                <w:szCs w:val="20"/>
                <w:lang w:eastAsia="es-ES"/>
              </w:rPr>
            </w:pPr>
            <w:r w:rsidRPr="005D342D">
              <w:rPr>
                <w:rFonts w:cs="Times New Roman"/>
                <w:sz w:val="20"/>
                <w:szCs w:val="20"/>
                <w:lang w:eastAsia="es-ES"/>
              </w:rPr>
              <w:t>Molle</w:t>
            </w:r>
          </w:p>
        </w:tc>
        <w:tc>
          <w:tcPr>
            <w:tcW w:w="861" w:type="dxa"/>
          </w:tcPr>
          <w:p w:rsidR="005D342D" w:rsidRPr="005D342D" w:rsidRDefault="005D342D" w:rsidP="008F18F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eastAsia="es-ES"/>
              </w:rPr>
            </w:pPr>
            <w:r w:rsidRPr="005D342D">
              <w:rPr>
                <w:rFonts w:cs="Times New Roman"/>
                <w:sz w:val="20"/>
                <w:szCs w:val="20"/>
                <w:lang w:eastAsia="es-ES"/>
              </w:rPr>
              <w:t>9</w:t>
            </w:r>
          </w:p>
        </w:tc>
        <w:tc>
          <w:tcPr>
            <w:tcW w:w="2109" w:type="dxa"/>
          </w:tcPr>
          <w:p w:rsidR="005D342D" w:rsidRPr="005D342D" w:rsidRDefault="005D342D" w:rsidP="008F18F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eastAsia="es-ES"/>
              </w:rPr>
            </w:pPr>
            <w:r w:rsidRPr="005D342D">
              <w:rPr>
                <w:rFonts w:cs="Times New Roman"/>
                <w:sz w:val="20"/>
                <w:szCs w:val="20"/>
                <w:lang w:eastAsia="es-ES"/>
              </w:rPr>
              <w:t>B11, B12, B13, B14, B15, B16.</w:t>
            </w:r>
          </w:p>
        </w:tc>
      </w:tr>
      <w:tr w:rsidR="005D342D" w:rsidRPr="00A45FA8" w:rsidTr="00A45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tcPr>
          <w:p w:rsidR="005D342D" w:rsidRPr="00A45FA8" w:rsidRDefault="005D342D" w:rsidP="008F18FD">
            <w:pPr>
              <w:spacing w:line="276" w:lineRule="auto"/>
              <w:jc w:val="center"/>
              <w:rPr>
                <w:rFonts w:cs="Times New Roman"/>
                <w:sz w:val="20"/>
                <w:szCs w:val="20"/>
                <w:lang w:eastAsia="es-ES"/>
              </w:rPr>
            </w:pPr>
            <w:r w:rsidRPr="00A45FA8">
              <w:rPr>
                <w:rFonts w:cs="Times New Roman"/>
                <w:sz w:val="20"/>
                <w:szCs w:val="20"/>
                <w:lang w:eastAsia="es-ES"/>
              </w:rPr>
              <w:t>Algarrobo</w:t>
            </w:r>
          </w:p>
        </w:tc>
        <w:tc>
          <w:tcPr>
            <w:tcW w:w="861" w:type="dxa"/>
          </w:tcPr>
          <w:p w:rsidR="005D342D" w:rsidRPr="00A45FA8" w:rsidRDefault="005D342D" w:rsidP="008F18F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es-ES"/>
              </w:rPr>
            </w:pPr>
            <w:r w:rsidRPr="00A45FA8">
              <w:rPr>
                <w:rFonts w:cs="Times New Roman"/>
                <w:sz w:val="20"/>
                <w:szCs w:val="20"/>
                <w:lang w:eastAsia="es-ES"/>
              </w:rPr>
              <w:t>12</w:t>
            </w:r>
          </w:p>
        </w:tc>
        <w:tc>
          <w:tcPr>
            <w:tcW w:w="2109" w:type="dxa"/>
          </w:tcPr>
          <w:p w:rsidR="005D342D" w:rsidRPr="00A45FA8" w:rsidRDefault="005D342D" w:rsidP="008F18F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eastAsia="es-ES"/>
              </w:rPr>
            </w:pPr>
            <w:r w:rsidRPr="00A45FA8">
              <w:rPr>
                <w:rFonts w:cs="Times New Roman"/>
                <w:sz w:val="20"/>
                <w:szCs w:val="20"/>
                <w:lang w:eastAsia="es-ES"/>
              </w:rPr>
              <w:t>B17, B18, B19, B20, B21, B22, B23, B24, B25.</w:t>
            </w:r>
          </w:p>
        </w:tc>
      </w:tr>
    </w:tbl>
    <w:p w:rsidR="004A59FD" w:rsidRDefault="00A45FA8" w:rsidP="00580136">
      <w:pPr>
        <w:spacing w:after="0" w:line="360" w:lineRule="auto"/>
        <w:jc w:val="both"/>
        <w:rPr>
          <w:rFonts w:cs="Times New Roman"/>
          <w:sz w:val="22"/>
        </w:rPr>
      </w:pPr>
      <w:r w:rsidRPr="00A45FA8">
        <w:rPr>
          <w:rFonts w:cs="Times New Roman"/>
          <w:sz w:val="22"/>
        </w:rPr>
        <w:t>Stanier (1996)</w:t>
      </w:r>
      <w:r w:rsidR="00580136">
        <w:rPr>
          <w:rFonts w:cs="Times New Roman"/>
          <w:sz w:val="22"/>
        </w:rPr>
        <w:t>,</w:t>
      </w:r>
      <w:r w:rsidRPr="00A45FA8">
        <w:rPr>
          <w:rFonts w:cs="Times New Roman"/>
          <w:sz w:val="22"/>
        </w:rPr>
        <w:t xml:space="preserve"> señala </w:t>
      </w:r>
      <w:r w:rsidR="001026C3">
        <w:rPr>
          <w:rFonts w:cs="Times New Roman"/>
          <w:sz w:val="22"/>
        </w:rPr>
        <w:t>que la producción de e</w:t>
      </w:r>
      <w:r w:rsidRPr="00A45FA8">
        <w:rPr>
          <w:rFonts w:cs="Times New Roman"/>
          <w:sz w:val="22"/>
        </w:rPr>
        <w:t xml:space="preserve">sporas es una característica típica de todas las bacterias de los géneros </w:t>
      </w:r>
      <w:r w:rsidRPr="00A45FA8">
        <w:rPr>
          <w:rFonts w:cs="Times New Roman"/>
          <w:i/>
          <w:sz w:val="22"/>
        </w:rPr>
        <w:t>Bacillus</w:t>
      </w:r>
      <w:r w:rsidRPr="00A45FA8">
        <w:rPr>
          <w:rFonts w:cs="Times New Roman"/>
          <w:sz w:val="22"/>
        </w:rPr>
        <w:t xml:space="preserve"> y </w:t>
      </w:r>
      <w:r w:rsidRPr="00A45FA8">
        <w:rPr>
          <w:rFonts w:cs="Times New Roman"/>
          <w:i/>
          <w:sz w:val="22"/>
        </w:rPr>
        <w:t>Clostridium.</w:t>
      </w:r>
      <w:r w:rsidRPr="00A45FA8">
        <w:rPr>
          <w:rFonts w:cs="Times New Roman"/>
          <w:sz w:val="22"/>
        </w:rPr>
        <w:t xml:space="preserve"> </w:t>
      </w:r>
    </w:p>
    <w:p w:rsidR="004C029E" w:rsidRDefault="001026C3" w:rsidP="00580136">
      <w:pPr>
        <w:spacing w:after="0" w:line="360" w:lineRule="auto"/>
        <w:jc w:val="both"/>
        <w:rPr>
          <w:rFonts w:cs="Times New Roman"/>
          <w:sz w:val="22"/>
        </w:rPr>
      </w:pPr>
      <w:r w:rsidRPr="00F9248D">
        <w:rPr>
          <w:rFonts w:cs="Times New Roman"/>
          <w:sz w:val="22"/>
        </w:rPr>
        <w:t>La</w:t>
      </w:r>
      <w:r w:rsidR="00F9248D" w:rsidRPr="00F9248D">
        <w:rPr>
          <w:rFonts w:cs="Times New Roman"/>
          <w:sz w:val="22"/>
        </w:rPr>
        <w:t xml:space="preserve"> resistencia de las esporas de</w:t>
      </w:r>
      <w:r w:rsidR="00F9248D" w:rsidRPr="00F9248D">
        <w:rPr>
          <w:rFonts w:cs="Times New Roman"/>
          <w:i/>
          <w:sz w:val="22"/>
        </w:rPr>
        <w:t xml:space="preserve"> Bacillus</w:t>
      </w:r>
      <w:r w:rsidR="00F9248D" w:rsidRPr="00F9248D">
        <w:rPr>
          <w:rFonts w:cs="Times New Roman"/>
          <w:sz w:val="22"/>
        </w:rPr>
        <w:t xml:space="preserve"> sp. al calentamie</w:t>
      </w:r>
      <w:r>
        <w:rPr>
          <w:rFonts w:cs="Times New Roman"/>
          <w:sz w:val="22"/>
        </w:rPr>
        <w:t xml:space="preserve">nto a temperaturas que eliminan </w:t>
      </w:r>
      <w:r w:rsidR="00F9248D" w:rsidRPr="00F9248D">
        <w:rPr>
          <w:rFonts w:cs="Times New Roman"/>
          <w:sz w:val="22"/>
        </w:rPr>
        <w:t>la célula vegetativa</w:t>
      </w:r>
      <w:r>
        <w:rPr>
          <w:rFonts w:cs="Times New Roman"/>
          <w:sz w:val="22"/>
        </w:rPr>
        <w:t xml:space="preserve"> y</w:t>
      </w:r>
      <w:r w:rsidR="00F9248D" w:rsidRPr="00F9248D">
        <w:rPr>
          <w:rFonts w:cs="Times New Roman"/>
          <w:sz w:val="22"/>
        </w:rPr>
        <w:t xml:space="preserve"> las esporas </w:t>
      </w:r>
      <w:r w:rsidR="001F3CD1">
        <w:rPr>
          <w:rFonts w:cs="Times New Roman"/>
          <w:sz w:val="22"/>
        </w:rPr>
        <w:t xml:space="preserve">poco </w:t>
      </w:r>
      <w:r w:rsidR="00F9248D" w:rsidRPr="00F9248D">
        <w:rPr>
          <w:rFonts w:cs="Times New Roman"/>
          <w:sz w:val="22"/>
        </w:rPr>
        <w:t>resistentes al calor</w:t>
      </w:r>
      <w:r>
        <w:rPr>
          <w:rFonts w:cs="Times New Roman"/>
          <w:sz w:val="22"/>
        </w:rPr>
        <w:t xml:space="preserve"> suele ser usado como método de aislamiento</w:t>
      </w:r>
      <w:r w:rsidR="00F9248D" w:rsidRPr="00F9248D">
        <w:rPr>
          <w:rFonts w:cs="Times New Roman"/>
          <w:sz w:val="22"/>
        </w:rPr>
        <w:t xml:space="preserve"> (Ratón et al.</w:t>
      </w:r>
      <w:r w:rsidR="00580136">
        <w:rPr>
          <w:rFonts w:cs="Times New Roman"/>
          <w:sz w:val="22"/>
        </w:rPr>
        <w:t>,</w:t>
      </w:r>
      <w:r w:rsidR="00F9248D" w:rsidRPr="00F9248D">
        <w:rPr>
          <w:rFonts w:cs="Times New Roman"/>
          <w:sz w:val="22"/>
        </w:rPr>
        <w:t xml:space="preserve"> 2005).</w:t>
      </w:r>
      <w:r w:rsidR="00F9248D" w:rsidRPr="00F9248D">
        <w:rPr>
          <w:rFonts w:cs="Times New Roman"/>
          <w:sz w:val="22"/>
        </w:rPr>
        <w:tab/>
      </w:r>
    </w:p>
    <w:p w:rsidR="004C029E" w:rsidRDefault="004C029E" w:rsidP="00580136">
      <w:pPr>
        <w:spacing w:after="0" w:line="360" w:lineRule="auto"/>
        <w:jc w:val="both"/>
        <w:rPr>
          <w:rFonts w:cs="Times New Roman"/>
          <w:sz w:val="22"/>
        </w:rPr>
      </w:pPr>
    </w:p>
    <w:p w:rsidR="005E5F25" w:rsidRPr="00F9248D" w:rsidRDefault="00F9248D" w:rsidP="00580136">
      <w:pPr>
        <w:spacing w:after="0" w:line="360" w:lineRule="auto"/>
        <w:jc w:val="both"/>
        <w:rPr>
          <w:rFonts w:cs="Times New Roman"/>
          <w:b/>
          <w:sz w:val="22"/>
        </w:rPr>
      </w:pPr>
      <w:r w:rsidRPr="00F9248D">
        <w:rPr>
          <w:rFonts w:cs="Times New Roman"/>
          <w:sz w:val="22"/>
        </w:rPr>
        <w:tab/>
      </w:r>
      <w:r w:rsidRPr="00F9248D">
        <w:rPr>
          <w:rFonts w:cs="Times New Roman"/>
          <w:sz w:val="22"/>
        </w:rPr>
        <w:tab/>
      </w:r>
      <w:r w:rsidRPr="00F9248D">
        <w:rPr>
          <w:rFonts w:cs="Times New Roman"/>
          <w:sz w:val="22"/>
        </w:rPr>
        <w:tab/>
      </w:r>
    </w:p>
    <w:p w:rsidR="00A45FA8" w:rsidRDefault="00A45FA8" w:rsidP="00580136">
      <w:pPr>
        <w:spacing w:after="0" w:line="360" w:lineRule="auto"/>
        <w:jc w:val="both"/>
        <w:rPr>
          <w:rFonts w:cs="Times New Roman"/>
          <w:b/>
          <w:sz w:val="22"/>
        </w:rPr>
      </w:pPr>
      <w:r w:rsidRPr="00A45FA8">
        <w:rPr>
          <w:rFonts w:cs="Times New Roman"/>
          <w:b/>
          <w:sz w:val="22"/>
        </w:rPr>
        <w:lastRenderedPageBreak/>
        <w:t>Pruebas bioquímicas</w:t>
      </w:r>
    </w:p>
    <w:p w:rsidR="00A45FA8" w:rsidRPr="004A59FD" w:rsidRDefault="00A45FA8" w:rsidP="00580136">
      <w:pPr>
        <w:spacing w:after="0" w:line="360" w:lineRule="auto"/>
        <w:jc w:val="both"/>
        <w:rPr>
          <w:rFonts w:cs="Times New Roman"/>
          <w:sz w:val="22"/>
          <w:lang w:eastAsia="es-ES"/>
        </w:rPr>
      </w:pPr>
      <w:r w:rsidRPr="004A59FD">
        <w:rPr>
          <w:rFonts w:cs="Times New Roman"/>
          <w:sz w:val="22"/>
          <w:lang w:eastAsia="es-ES"/>
        </w:rPr>
        <w:t xml:space="preserve">Se realizó un total de 3 pruebas bioquímicas a las 25 cepas bacterianas seleccionadas como posibles </w:t>
      </w:r>
      <w:r w:rsidRPr="004A59FD">
        <w:rPr>
          <w:rFonts w:cs="Times New Roman"/>
          <w:i/>
          <w:sz w:val="22"/>
          <w:lang w:eastAsia="es-ES"/>
        </w:rPr>
        <w:t>Bacillus</w:t>
      </w:r>
      <w:r w:rsidR="000F3AB3" w:rsidRPr="004A59FD">
        <w:rPr>
          <w:rFonts w:cs="Times New Roman"/>
          <w:sz w:val="22"/>
          <w:lang w:eastAsia="es-ES"/>
        </w:rPr>
        <w:t>, encontrándose 22 cepas bacterianas</w:t>
      </w:r>
      <w:r w:rsidRPr="004A59FD">
        <w:rPr>
          <w:rFonts w:cs="Times New Roman"/>
          <w:sz w:val="22"/>
          <w:lang w:eastAsia="es-ES"/>
        </w:rPr>
        <w:t xml:space="preserve"> Gram positiv</w:t>
      </w:r>
      <w:r w:rsidR="000F3AB3" w:rsidRPr="004A59FD">
        <w:rPr>
          <w:rFonts w:cs="Times New Roman"/>
          <w:sz w:val="22"/>
          <w:lang w:eastAsia="es-ES"/>
        </w:rPr>
        <w:t xml:space="preserve">as, 22 cepas catalasa positiva y </w:t>
      </w:r>
      <w:r w:rsidRPr="004A59FD">
        <w:rPr>
          <w:rFonts w:cs="Times New Roman"/>
          <w:sz w:val="22"/>
          <w:lang w:eastAsia="es-ES"/>
        </w:rPr>
        <w:t>19</w:t>
      </w:r>
      <w:r w:rsidR="004158CE">
        <w:rPr>
          <w:rFonts w:cs="Times New Roman"/>
          <w:sz w:val="22"/>
          <w:lang w:eastAsia="es-ES"/>
        </w:rPr>
        <w:t xml:space="preserve"> oxidasa negativa</w:t>
      </w:r>
      <w:r w:rsidRPr="004A59FD">
        <w:rPr>
          <w:rFonts w:cs="Times New Roman"/>
          <w:sz w:val="22"/>
          <w:lang w:eastAsia="es-ES"/>
        </w:rPr>
        <w:t xml:space="preserve">. </w:t>
      </w:r>
      <w:r w:rsidRPr="004A59FD">
        <w:rPr>
          <w:sz w:val="22"/>
        </w:rPr>
        <w:t xml:space="preserve">Zapata </w:t>
      </w:r>
      <w:r w:rsidRPr="00580136">
        <w:rPr>
          <w:sz w:val="22"/>
        </w:rPr>
        <w:t>et al</w:t>
      </w:r>
      <w:r w:rsidRPr="004A59FD">
        <w:rPr>
          <w:sz w:val="22"/>
        </w:rPr>
        <w:t xml:space="preserve"> (2012) encontró resultados similares en las pruebas bioquimas realizadas a 6 aislamientos de Bacillus sp., de los cultivos de Cómbita y Granada, los cuales resultaron como bacilos Gram positivo y catalasa positiva.</w:t>
      </w:r>
    </w:p>
    <w:p w:rsidR="00A45FA8" w:rsidRPr="00C95D0A" w:rsidRDefault="00A45FA8" w:rsidP="00580136">
      <w:pPr>
        <w:spacing w:after="0" w:line="360" w:lineRule="auto"/>
        <w:jc w:val="both"/>
        <w:rPr>
          <w:rFonts w:cs="Times New Roman"/>
          <w:b/>
          <w:sz w:val="22"/>
        </w:rPr>
      </w:pPr>
      <w:r w:rsidRPr="004A59FD">
        <w:rPr>
          <w:rFonts w:cs="Times New Roman"/>
          <w:sz w:val="22"/>
          <w:lang w:eastAsia="es-ES"/>
        </w:rPr>
        <w:t>Después de haber realizado las pruebas bio</w:t>
      </w:r>
      <w:r w:rsidR="00F913D6">
        <w:rPr>
          <w:rFonts w:cs="Times New Roman"/>
          <w:sz w:val="22"/>
          <w:lang w:eastAsia="es-ES"/>
        </w:rPr>
        <w:t>químicas</w:t>
      </w:r>
      <w:r w:rsidRPr="004A59FD">
        <w:rPr>
          <w:rFonts w:cs="Times New Roman"/>
          <w:sz w:val="22"/>
          <w:lang w:eastAsia="es-ES"/>
        </w:rPr>
        <w:t>, se seleccionadas 15 cepas de posibles Bacillus, siendo elegidas aquellas que dieron positivo a las pruebas bioquímicas</w:t>
      </w:r>
      <w:r w:rsidR="001F3CD1">
        <w:rPr>
          <w:rFonts w:cs="Times New Roman"/>
          <w:sz w:val="22"/>
          <w:lang w:eastAsia="es-ES"/>
        </w:rPr>
        <w:t>,</w:t>
      </w:r>
      <w:r w:rsidRPr="004A59FD">
        <w:rPr>
          <w:rFonts w:cs="Times New Roman"/>
          <w:i/>
          <w:sz w:val="22"/>
          <w:lang w:eastAsia="es-ES"/>
        </w:rPr>
        <w:t xml:space="preserve"> </w:t>
      </w:r>
      <w:r w:rsidRPr="004A59FD">
        <w:rPr>
          <w:rFonts w:cs="Times New Roman"/>
          <w:sz w:val="22"/>
          <w:lang w:eastAsia="es-ES"/>
        </w:rPr>
        <w:t>para ser evaluadas en plantines d</w:t>
      </w:r>
      <w:r w:rsidR="00F913D6">
        <w:rPr>
          <w:rFonts w:cs="Times New Roman"/>
          <w:sz w:val="22"/>
          <w:lang w:eastAsia="es-ES"/>
        </w:rPr>
        <w:t xml:space="preserve">e jacaranda </w:t>
      </w:r>
      <w:r w:rsidR="002E4828" w:rsidRPr="00C95D0A">
        <w:rPr>
          <w:rFonts w:cs="Times New Roman"/>
          <w:b/>
          <w:sz w:val="22"/>
        </w:rPr>
        <w:t>Multiplicación en medio liquido</w:t>
      </w:r>
    </w:p>
    <w:p w:rsidR="004A59FD" w:rsidRPr="00016BBF" w:rsidRDefault="001A0DAF" w:rsidP="004A59FD">
      <w:pPr>
        <w:spacing w:after="0" w:line="360" w:lineRule="auto"/>
        <w:jc w:val="both"/>
        <w:rPr>
          <w:rFonts w:cs="Times New Roman"/>
          <w:sz w:val="22"/>
          <w:lang w:eastAsia="es-ES"/>
        </w:rPr>
      </w:pPr>
      <w:r w:rsidRPr="004A59FD">
        <w:rPr>
          <w:rFonts w:cs="Times New Roman"/>
          <w:sz w:val="22"/>
          <w:lang w:eastAsia="es-ES"/>
        </w:rPr>
        <w:t>El cuadro</w:t>
      </w:r>
      <w:r w:rsidRPr="004A59FD">
        <w:rPr>
          <w:rFonts w:cs="Times New Roman"/>
          <w:b/>
          <w:sz w:val="22"/>
          <w:lang w:eastAsia="es-ES"/>
        </w:rPr>
        <w:t xml:space="preserve"> </w:t>
      </w:r>
      <w:r w:rsidR="004A59FD" w:rsidRPr="004A59FD">
        <w:rPr>
          <w:rFonts w:cs="Times New Roman"/>
          <w:sz w:val="22"/>
          <w:lang w:eastAsia="es-ES"/>
        </w:rPr>
        <w:t>2</w:t>
      </w:r>
      <w:r w:rsidRPr="004A59FD">
        <w:rPr>
          <w:rFonts w:cs="Times New Roman"/>
          <w:b/>
          <w:sz w:val="22"/>
          <w:lang w:eastAsia="es-ES"/>
        </w:rPr>
        <w:t xml:space="preserve">.  </w:t>
      </w:r>
      <w:r w:rsidRPr="004A59FD">
        <w:rPr>
          <w:rFonts w:cs="Times New Roman"/>
          <w:sz w:val="22"/>
          <w:lang w:eastAsia="es-ES"/>
        </w:rPr>
        <w:t xml:space="preserve">Muestra la cuantificación de UFC (Unidades Formadoras de colonias) de los </w:t>
      </w:r>
      <w:r w:rsidRPr="004A59FD">
        <w:rPr>
          <w:rFonts w:cs="Times New Roman"/>
          <w:i/>
          <w:sz w:val="22"/>
          <w:lang w:eastAsia="es-ES"/>
        </w:rPr>
        <w:t>Bacillus</w:t>
      </w:r>
      <w:r w:rsidRPr="004A59FD">
        <w:rPr>
          <w:rFonts w:cs="Times New Roman"/>
          <w:sz w:val="22"/>
          <w:lang w:eastAsia="es-ES"/>
        </w:rPr>
        <w:t xml:space="preserve"> seleccionados, transcurridos 7 días a partir de la inoculación de en medio líquido. Donde se observa poblaciones significativas teniendo en cuenta que este es un factor muy importante en la formu</w:t>
      </w:r>
      <w:r w:rsidR="00FD28B7">
        <w:rPr>
          <w:rFonts w:cs="Times New Roman"/>
          <w:sz w:val="22"/>
          <w:lang w:eastAsia="es-ES"/>
        </w:rPr>
        <w:t xml:space="preserve">lación de productos comerciales. </w:t>
      </w:r>
      <w:r w:rsidRPr="004A59FD">
        <w:rPr>
          <w:rFonts w:cs="Times New Roman"/>
          <w:sz w:val="22"/>
          <w:lang w:eastAsia="es-ES"/>
        </w:rPr>
        <w:t>Por lo general se consideran efectivos económica y técnicamente los productos con una población superior a 10</w:t>
      </w:r>
      <w:r w:rsidRPr="004A59FD">
        <w:rPr>
          <w:rFonts w:cs="Times New Roman"/>
          <w:sz w:val="22"/>
          <w:vertAlign w:val="superscript"/>
          <w:lang w:eastAsia="es-ES"/>
        </w:rPr>
        <w:t>8</w:t>
      </w:r>
      <w:r w:rsidRPr="004A59FD">
        <w:rPr>
          <w:rFonts w:cs="Times New Roman"/>
          <w:sz w:val="22"/>
          <w:lang w:eastAsia="es-ES"/>
        </w:rPr>
        <w:t xml:space="preserve"> UFC/g</w:t>
      </w:r>
      <w:r w:rsidR="00FD28B7">
        <w:rPr>
          <w:rFonts w:cs="Times New Roman"/>
          <w:sz w:val="22"/>
          <w:lang w:eastAsia="es-ES"/>
        </w:rPr>
        <w:t xml:space="preserve">  (Viñals y Villar, 1999)</w:t>
      </w:r>
      <w:r w:rsidRPr="004A59FD">
        <w:rPr>
          <w:rFonts w:cs="Times New Roman"/>
          <w:sz w:val="22"/>
          <w:lang w:eastAsia="es-ES"/>
        </w:rPr>
        <w:t>.</w:t>
      </w:r>
      <w:bookmarkStart w:id="12" w:name="_Toc103031208"/>
      <w:bookmarkStart w:id="13" w:name="_Toc103032052"/>
      <w:bookmarkStart w:id="14" w:name="_Toc106107708"/>
    </w:p>
    <w:p w:rsidR="00580136" w:rsidRDefault="004A59FD" w:rsidP="00580136">
      <w:pPr>
        <w:spacing w:after="0" w:line="360" w:lineRule="auto"/>
        <w:jc w:val="both"/>
        <w:rPr>
          <w:rStyle w:val="Ttulo3Car"/>
          <w:rFonts w:ascii="Times New Roman" w:hAnsi="Times New Roman" w:cs="Times New Roman"/>
          <w:b/>
          <w:color w:val="auto"/>
          <w:sz w:val="22"/>
          <w:szCs w:val="22"/>
        </w:rPr>
      </w:pPr>
      <w:r w:rsidRPr="004A59FD">
        <w:rPr>
          <w:rStyle w:val="Ttulo3Car"/>
          <w:rFonts w:ascii="Times New Roman" w:hAnsi="Times New Roman" w:cs="Times New Roman"/>
          <w:b/>
          <w:color w:val="auto"/>
          <w:sz w:val="22"/>
          <w:szCs w:val="22"/>
        </w:rPr>
        <w:t>Evaluación de la Capacidad de Solubilización de Fosfatos</w:t>
      </w:r>
      <w:bookmarkEnd w:id="12"/>
      <w:bookmarkEnd w:id="13"/>
      <w:bookmarkEnd w:id="14"/>
    </w:p>
    <w:p w:rsidR="00FD28B7" w:rsidRDefault="004A59FD" w:rsidP="00580136">
      <w:pPr>
        <w:spacing w:after="0" w:line="360" w:lineRule="auto"/>
        <w:jc w:val="both"/>
        <w:rPr>
          <w:rFonts w:cs="Times New Roman"/>
          <w:sz w:val="22"/>
          <w:shd w:val="clear" w:color="auto" w:fill="FFFFFF"/>
        </w:rPr>
      </w:pPr>
      <w:r w:rsidRPr="004A59FD">
        <w:rPr>
          <w:rFonts w:cs="Times New Roman"/>
          <w:sz w:val="22"/>
          <w:lang w:eastAsia="es-ES"/>
        </w:rPr>
        <w:t>Se obtuvieron los resultados a partir de la observación del crecimiento de las 15 bacterias seleccionadas en medio NBRIP</w:t>
      </w:r>
      <w:r w:rsidR="00FD28B7">
        <w:rPr>
          <w:rFonts w:cs="Times New Roman"/>
          <w:sz w:val="22"/>
          <w:lang w:eastAsia="es-ES"/>
        </w:rPr>
        <w:t>, donde</w:t>
      </w:r>
      <w:r w:rsidRPr="004A59FD">
        <w:rPr>
          <w:rFonts w:cs="Times New Roman"/>
          <w:sz w:val="22"/>
          <w:lang w:eastAsia="es-ES"/>
        </w:rPr>
        <w:t xml:space="preserve"> se forma un halo trasparente alrededor de la colonia cuando </w:t>
      </w:r>
      <w:r w:rsidRPr="004A59FD">
        <w:rPr>
          <w:rFonts w:cs="Times New Roman"/>
          <w:sz w:val="22"/>
          <w:lang w:eastAsia="es-ES"/>
        </w:rPr>
        <w:lastRenderedPageBreak/>
        <w:t>estas presentan capacidad de solubilizaci</w:t>
      </w:r>
      <w:r w:rsidR="00FD28B7">
        <w:rPr>
          <w:rFonts w:cs="Times New Roman"/>
          <w:sz w:val="22"/>
          <w:lang w:eastAsia="es-ES"/>
        </w:rPr>
        <w:t>ón de fosfatos. S</w:t>
      </w:r>
      <w:r w:rsidRPr="004A59FD">
        <w:rPr>
          <w:rFonts w:cs="Times New Roman"/>
          <w:sz w:val="22"/>
          <w:lang w:eastAsia="es-ES"/>
        </w:rPr>
        <w:t>e identificaron 8 cepas con dichas ca</w:t>
      </w:r>
      <w:r w:rsidR="00FD28B7">
        <w:rPr>
          <w:rFonts w:cs="Times New Roman"/>
          <w:sz w:val="22"/>
          <w:lang w:eastAsia="es-ES"/>
        </w:rPr>
        <w:t>racterísticas:</w:t>
      </w:r>
      <w:r w:rsidRPr="004A59FD">
        <w:rPr>
          <w:rFonts w:cs="Times New Roman"/>
          <w:sz w:val="22"/>
          <w:lang w:eastAsia="es-ES"/>
        </w:rPr>
        <w:t xml:space="preserve"> FB1, FB4, FB5, FB6, FB7, FB10, bacterias  de ceibo y  FB12 y FB13 provenientes de molle, como se detalla en el cuadro</w:t>
      </w:r>
      <w:r w:rsidR="00016BBF">
        <w:rPr>
          <w:rFonts w:cs="Times New Roman"/>
          <w:sz w:val="22"/>
          <w:lang w:eastAsia="es-ES"/>
        </w:rPr>
        <w:t xml:space="preserve"> 3</w:t>
      </w:r>
      <w:r w:rsidRPr="004A59FD">
        <w:rPr>
          <w:rFonts w:cs="Times New Roman"/>
          <w:sz w:val="22"/>
          <w:lang w:eastAsia="es-ES"/>
        </w:rPr>
        <w:t xml:space="preserve">. Otero (2011), sostiene que </w:t>
      </w:r>
      <w:r w:rsidRPr="004A59FD">
        <w:rPr>
          <w:rFonts w:cs="Times New Roman"/>
          <w:sz w:val="22"/>
          <w:shd w:val="clear" w:color="auto" w:fill="FFFFFF"/>
        </w:rPr>
        <w:t>la formación del halo transparente que se observa alrededor de las colonias ocurre en la medida que sucede la solubilización</w:t>
      </w:r>
      <w:r w:rsidR="00FD28B7">
        <w:rPr>
          <w:rFonts w:cs="Times New Roman"/>
          <w:sz w:val="22"/>
          <w:shd w:val="clear" w:color="auto" w:fill="FFFFFF"/>
        </w:rPr>
        <w:t>.</w:t>
      </w:r>
    </w:p>
    <w:p w:rsidR="00FD28B7" w:rsidRPr="00580136" w:rsidRDefault="00FD28B7" w:rsidP="00580136">
      <w:pPr>
        <w:spacing w:after="0" w:line="360" w:lineRule="auto"/>
        <w:jc w:val="both"/>
        <w:rPr>
          <w:rFonts w:eastAsiaTheme="majorEastAsia" w:cs="Times New Roman"/>
          <w:b/>
          <w:sz w:val="22"/>
        </w:rPr>
      </w:pPr>
      <w:r w:rsidRPr="00016BBF">
        <w:rPr>
          <w:rFonts w:cs="Times New Roman"/>
          <w:b/>
          <w:sz w:val="22"/>
          <w:lang w:eastAsia="es-ES"/>
        </w:rPr>
        <w:t>Cuadro 2.</w:t>
      </w:r>
      <w:r w:rsidRPr="00016BBF">
        <w:rPr>
          <w:rFonts w:cs="Times New Roman"/>
          <w:sz w:val="22"/>
          <w:lang w:eastAsia="es-ES"/>
        </w:rPr>
        <w:t xml:space="preserve">  Población de inoculo en UFC</w:t>
      </w:r>
    </w:p>
    <w:tbl>
      <w:tblPr>
        <w:tblStyle w:val="Tablanormal2"/>
        <w:tblpPr w:leftFromText="141" w:rightFromText="141" w:vertAnchor="text" w:horzAnchor="margin" w:tblpXSpec="right" w:tblpY="28"/>
        <w:tblW w:w="0" w:type="auto"/>
        <w:tblLook w:val="04A0" w:firstRow="1" w:lastRow="0" w:firstColumn="1" w:lastColumn="0" w:noHBand="0" w:noVBand="1"/>
      </w:tblPr>
      <w:tblGrid>
        <w:gridCol w:w="2264"/>
        <w:gridCol w:w="2084"/>
      </w:tblGrid>
      <w:tr w:rsidR="00FD28B7" w:rsidRPr="00411370" w:rsidTr="00FD2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E7E6E6" w:themeFill="background2"/>
          </w:tcPr>
          <w:p w:rsidR="00FD28B7" w:rsidRPr="00016BBF" w:rsidRDefault="00FD28B7" w:rsidP="00FD28B7">
            <w:pPr>
              <w:tabs>
                <w:tab w:val="left" w:pos="990"/>
              </w:tabs>
              <w:spacing w:line="360" w:lineRule="auto"/>
              <w:jc w:val="center"/>
              <w:rPr>
                <w:rFonts w:cs="Times New Roman"/>
                <w:b w:val="0"/>
                <w:sz w:val="20"/>
                <w:szCs w:val="20"/>
                <w:lang w:eastAsia="es-ES"/>
              </w:rPr>
            </w:pPr>
            <w:r w:rsidRPr="00016BBF">
              <w:rPr>
                <w:rFonts w:cs="Times New Roman"/>
                <w:b w:val="0"/>
                <w:sz w:val="20"/>
                <w:szCs w:val="20"/>
                <w:lang w:eastAsia="es-ES"/>
              </w:rPr>
              <w:t>Cepas Bacterianas</w:t>
            </w:r>
          </w:p>
        </w:tc>
        <w:tc>
          <w:tcPr>
            <w:tcW w:w="2084" w:type="dxa"/>
            <w:shd w:val="clear" w:color="auto" w:fill="E7E6E6" w:themeFill="background2"/>
          </w:tcPr>
          <w:p w:rsidR="00FD28B7" w:rsidRPr="00016BBF" w:rsidRDefault="00FD28B7" w:rsidP="00FD28B7">
            <w:pPr>
              <w:tabs>
                <w:tab w:val="left" w:pos="990"/>
              </w:tabs>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0"/>
                <w:szCs w:val="20"/>
                <w:lang w:eastAsia="es-ES"/>
              </w:rPr>
            </w:pPr>
            <w:r w:rsidRPr="00016BBF">
              <w:rPr>
                <w:rFonts w:cs="Times New Roman"/>
                <w:b w:val="0"/>
                <w:sz w:val="20"/>
                <w:szCs w:val="20"/>
                <w:lang w:eastAsia="es-ES"/>
              </w:rPr>
              <w:t>Unidades Formadoras de Colonias (UFC)/mL</w:t>
            </w:r>
          </w:p>
        </w:tc>
      </w:tr>
      <w:tr w:rsidR="00FD28B7" w:rsidTr="00FD2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rsidR="00FD28B7" w:rsidRPr="00016BBF" w:rsidRDefault="00FD28B7" w:rsidP="00FD28B7">
            <w:pPr>
              <w:tabs>
                <w:tab w:val="left" w:pos="990"/>
              </w:tabs>
              <w:spacing w:line="276" w:lineRule="auto"/>
              <w:jc w:val="center"/>
              <w:rPr>
                <w:rFonts w:cs="Times New Roman"/>
                <w:sz w:val="20"/>
                <w:szCs w:val="20"/>
                <w:lang w:eastAsia="es-ES"/>
              </w:rPr>
            </w:pPr>
            <w:r w:rsidRPr="00016BBF">
              <w:rPr>
                <w:rFonts w:cs="Times New Roman"/>
                <w:sz w:val="20"/>
                <w:szCs w:val="20"/>
                <w:lang w:eastAsia="es-ES"/>
              </w:rPr>
              <w:t>FB1</w:t>
            </w:r>
          </w:p>
        </w:tc>
        <w:tc>
          <w:tcPr>
            <w:tcW w:w="2084" w:type="dxa"/>
          </w:tcPr>
          <w:p w:rsidR="00FD28B7" w:rsidRPr="00016BBF" w:rsidRDefault="00FD28B7" w:rsidP="00FD28B7">
            <w:pPr>
              <w:tabs>
                <w:tab w:val="left" w:pos="990"/>
              </w:tabs>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1,273*10</w:t>
            </w:r>
            <w:r w:rsidRPr="00016BBF">
              <w:rPr>
                <w:rFonts w:cs="Times New Roman"/>
                <w:sz w:val="20"/>
                <w:szCs w:val="20"/>
                <w:vertAlign w:val="superscript"/>
                <w:lang w:eastAsia="es-ES"/>
              </w:rPr>
              <w:t>11</w:t>
            </w:r>
          </w:p>
        </w:tc>
      </w:tr>
      <w:tr w:rsidR="00FD28B7" w:rsidTr="00FD28B7">
        <w:tc>
          <w:tcPr>
            <w:cnfStyle w:val="001000000000" w:firstRow="0" w:lastRow="0" w:firstColumn="1" w:lastColumn="0" w:oddVBand="0" w:evenVBand="0" w:oddHBand="0" w:evenHBand="0" w:firstRowFirstColumn="0" w:firstRowLastColumn="0" w:lastRowFirstColumn="0" w:lastRowLastColumn="0"/>
            <w:tcW w:w="2264" w:type="dxa"/>
          </w:tcPr>
          <w:p w:rsidR="00FD28B7" w:rsidRPr="00016BBF" w:rsidRDefault="00FD28B7" w:rsidP="00FD28B7">
            <w:pPr>
              <w:tabs>
                <w:tab w:val="left" w:pos="990"/>
              </w:tabs>
              <w:spacing w:line="276" w:lineRule="auto"/>
              <w:jc w:val="center"/>
              <w:rPr>
                <w:rFonts w:cs="Times New Roman"/>
                <w:sz w:val="20"/>
                <w:szCs w:val="20"/>
                <w:lang w:eastAsia="es-ES"/>
              </w:rPr>
            </w:pPr>
            <w:r w:rsidRPr="00016BBF">
              <w:rPr>
                <w:rFonts w:cs="Times New Roman"/>
                <w:sz w:val="20"/>
                <w:szCs w:val="20"/>
                <w:lang w:eastAsia="es-ES"/>
              </w:rPr>
              <w:t>FB2</w:t>
            </w:r>
          </w:p>
        </w:tc>
        <w:tc>
          <w:tcPr>
            <w:tcW w:w="2084" w:type="dxa"/>
          </w:tcPr>
          <w:p w:rsidR="00FD28B7" w:rsidRPr="00016BBF" w:rsidRDefault="00FD28B7" w:rsidP="00FD28B7">
            <w:pPr>
              <w:tabs>
                <w:tab w:val="left" w:pos="990"/>
              </w:tabs>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1,079*10</w:t>
            </w:r>
            <w:r w:rsidRPr="00016BBF">
              <w:rPr>
                <w:rFonts w:cs="Times New Roman"/>
                <w:sz w:val="20"/>
                <w:szCs w:val="20"/>
                <w:vertAlign w:val="superscript"/>
                <w:lang w:eastAsia="es-ES"/>
              </w:rPr>
              <w:t>11</w:t>
            </w:r>
          </w:p>
        </w:tc>
      </w:tr>
      <w:tr w:rsidR="00FD28B7" w:rsidTr="00FD2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rsidR="00FD28B7" w:rsidRPr="00016BBF" w:rsidRDefault="00FD28B7" w:rsidP="00FD28B7">
            <w:pPr>
              <w:tabs>
                <w:tab w:val="left" w:pos="990"/>
              </w:tabs>
              <w:spacing w:line="276" w:lineRule="auto"/>
              <w:jc w:val="center"/>
              <w:rPr>
                <w:rFonts w:cs="Times New Roman"/>
                <w:sz w:val="20"/>
                <w:szCs w:val="20"/>
                <w:lang w:eastAsia="es-ES"/>
              </w:rPr>
            </w:pPr>
            <w:r w:rsidRPr="00016BBF">
              <w:rPr>
                <w:rFonts w:cs="Times New Roman"/>
                <w:sz w:val="20"/>
                <w:szCs w:val="20"/>
                <w:lang w:eastAsia="es-ES"/>
              </w:rPr>
              <w:t>FB3</w:t>
            </w:r>
          </w:p>
        </w:tc>
        <w:tc>
          <w:tcPr>
            <w:tcW w:w="2084" w:type="dxa"/>
          </w:tcPr>
          <w:p w:rsidR="00FD28B7" w:rsidRPr="00016BBF" w:rsidRDefault="00FD28B7" w:rsidP="00FD28B7">
            <w:pPr>
              <w:tabs>
                <w:tab w:val="left" w:pos="990"/>
              </w:tabs>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1,240*10</w:t>
            </w:r>
            <w:r w:rsidRPr="00016BBF">
              <w:rPr>
                <w:rFonts w:cs="Times New Roman"/>
                <w:sz w:val="20"/>
                <w:szCs w:val="20"/>
                <w:vertAlign w:val="superscript"/>
                <w:lang w:eastAsia="es-ES"/>
              </w:rPr>
              <w:t>9</w:t>
            </w:r>
          </w:p>
        </w:tc>
      </w:tr>
      <w:tr w:rsidR="00FD28B7" w:rsidTr="00FD28B7">
        <w:tc>
          <w:tcPr>
            <w:cnfStyle w:val="001000000000" w:firstRow="0" w:lastRow="0" w:firstColumn="1" w:lastColumn="0" w:oddVBand="0" w:evenVBand="0" w:oddHBand="0" w:evenHBand="0" w:firstRowFirstColumn="0" w:firstRowLastColumn="0" w:lastRowFirstColumn="0" w:lastRowLastColumn="0"/>
            <w:tcW w:w="2264" w:type="dxa"/>
          </w:tcPr>
          <w:p w:rsidR="00FD28B7" w:rsidRPr="00016BBF" w:rsidRDefault="00FD28B7" w:rsidP="00FD28B7">
            <w:pPr>
              <w:tabs>
                <w:tab w:val="left" w:pos="990"/>
              </w:tabs>
              <w:spacing w:line="276" w:lineRule="auto"/>
              <w:jc w:val="center"/>
              <w:rPr>
                <w:rFonts w:cs="Times New Roman"/>
                <w:sz w:val="20"/>
                <w:szCs w:val="20"/>
                <w:lang w:eastAsia="es-ES"/>
              </w:rPr>
            </w:pPr>
            <w:r w:rsidRPr="00016BBF">
              <w:rPr>
                <w:rFonts w:cs="Times New Roman"/>
                <w:sz w:val="20"/>
                <w:szCs w:val="20"/>
                <w:lang w:eastAsia="es-ES"/>
              </w:rPr>
              <w:t>FB4</w:t>
            </w:r>
          </w:p>
        </w:tc>
        <w:tc>
          <w:tcPr>
            <w:tcW w:w="2084" w:type="dxa"/>
          </w:tcPr>
          <w:p w:rsidR="00FD28B7" w:rsidRPr="00016BBF" w:rsidRDefault="00FD28B7" w:rsidP="00FD28B7">
            <w:pPr>
              <w:tabs>
                <w:tab w:val="left" w:pos="990"/>
              </w:tabs>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1,135*10</w:t>
            </w:r>
            <w:r w:rsidRPr="00016BBF">
              <w:rPr>
                <w:rFonts w:cs="Times New Roman"/>
                <w:sz w:val="20"/>
                <w:szCs w:val="20"/>
                <w:vertAlign w:val="superscript"/>
                <w:lang w:eastAsia="es-ES"/>
              </w:rPr>
              <w:t>11</w:t>
            </w:r>
          </w:p>
        </w:tc>
      </w:tr>
      <w:tr w:rsidR="00FD28B7" w:rsidTr="00FD2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rsidR="00FD28B7" w:rsidRPr="00016BBF" w:rsidRDefault="00FD28B7" w:rsidP="00FD28B7">
            <w:pPr>
              <w:tabs>
                <w:tab w:val="left" w:pos="990"/>
              </w:tabs>
              <w:spacing w:line="276" w:lineRule="auto"/>
              <w:jc w:val="center"/>
              <w:rPr>
                <w:rFonts w:cs="Times New Roman"/>
                <w:sz w:val="20"/>
                <w:szCs w:val="20"/>
                <w:lang w:eastAsia="es-ES"/>
              </w:rPr>
            </w:pPr>
            <w:r w:rsidRPr="00016BBF">
              <w:rPr>
                <w:rFonts w:cs="Times New Roman"/>
                <w:sz w:val="20"/>
                <w:szCs w:val="20"/>
                <w:lang w:eastAsia="es-ES"/>
              </w:rPr>
              <w:t>FB5</w:t>
            </w:r>
          </w:p>
        </w:tc>
        <w:tc>
          <w:tcPr>
            <w:tcW w:w="2084" w:type="dxa"/>
          </w:tcPr>
          <w:p w:rsidR="00FD28B7" w:rsidRPr="00016BBF" w:rsidRDefault="00FD28B7" w:rsidP="00FD28B7">
            <w:pPr>
              <w:tabs>
                <w:tab w:val="left" w:pos="990"/>
              </w:tabs>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vertAlign w:val="superscript"/>
                <w:lang w:eastAsia="es-ES"/>
              </w:rPr>
            </w:pPr>
            <w:r w:rsidRPr="00016BBF">
              <w:rPr>
                <w:rFonts w:cs="Times New Roman"/>
                <w:sz w:val="20"/>
                <w:szCs w:val="20"/>
                <w:lang w:eastAsia="es-ES"/>
              </w:rPr>
              <w:t>1,391*10</w:t>
            </w:r>
            <w:r w:rsidRPr="00016BBF">
              <w:rPr>
                <w:rFonts w:cs="Times New Roman"/>
                <w:sz w:val="20"/>
                <w:szCs w:val="20"/>
                <w:vertAlign w:val="superscript"/>
                <w:lang w:eastAsia="es-ES"/>
              </w:rPr>
              <w:t>9</w:t>
            </w:r>
          </w:p>
        </w:tc>
      </w:tr>
      <w:tr w:rsidR="00FD28B7" w:rsidTr="00FD28B7">
        <w:tc>
          <w:tcPr>
            <w:cnfStyle w:val="001000000000" w:firstRow="0" w:lastRow="0" w:firstColumn="1" w:lastColumn="0" w:oddVBand="0" w:evenVBand="0" w:oddHBand="0" w:evenHBand="0" w:firstRowFirstColumn="0" w:firstRowLastColumn="0" w:lastRowFirstColumn="0" w:lastRowLastColumn="0"/>
            <w:tcW w:w="2264" w:type="dxa"/>
          </w:tcPr>
          <w:p w:rsidR="00FD28B7" w:rsidRPr="00016BBF" w:rsidRDefault="00FD28B7" w:rsidP="00FD28B7">
            <w:pPr>
              <w:tabs>
                <w:tab w:val="left" w:pos="990"/>
              </w:tabs>
              <w:spacing w:line="276" w:lineRule="auto"/>
              <w:jc w:val="center"/>
              <w:rPr>
                <w:rFonts w:cs="Times New Roman"/>
                <w:sz w:val="20"/>
                <w:szCs w:val="20"/>
                <w:lang w:eastAsia="es-ES"/>
              </w:rPr>
            </w:pPr>
            <w:r w:rsidRPr="00016BBF">
              <w:rPr>
                <w:rFonts w:cs="Times New Roman"/>
                <w:sz w:val="20"/>
                <w:szCs w:val="20"/>
                <w:lang w:eastAsia="es-ES"/>
              </w:rPr>
              <w:t>FB6</w:t>
            </w:r>
          </w:p>
        </w:tc>
        <w:tc>
          <w:tcPr>
            <w:tcW w:w="2084" w:type="dxa"/>
          </w:tcPr>
          <w:p w:rsidR="00FD28B7" w:rsidRPr="00016BBF" w:rsidRDefault="00FD28B7" w:rsidP="00FD28B7">
            <w:pPr>
              <w:tabs>
                <w:tab w:val="left" w:pos="990"/>
              </w:tabs>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9,23*10</w:t>
            </w:r>
            <w:r w:rsidRPr="00016BBF">
              <w:rPr>
                <w:rFonts w:cs="Times New Roman"/>
                <w:sz w:val="20"/>
                <w:szCs w:val="20"/>
                <w:vertAlign w:val="superscript"/>
                <w:lang w:eastAsia="es-ES"/>
              </w:rPr>
              <w:t>10</w:t>
            </w:r>
          </w:p>
        </w:tc>
      </w:tr>
      <w:tr w:rsidR="00FD28B7" w:rsidTr="00FD2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rsidR="00FD28B7" w:rsidRPr="00016BBF" w:rsidRDefault="00FD28B7" w:rsidP="00FD28B7">
            <w:pPr>
              <w:tabs>
                <w:tab w:val="left" w:pos="990"/>
              </w:tabs>
              <w:spacing w:line="276" w:lineRule="auto"/>
              <w:jc w:val="center"/>
              <w:rPr>
                <w:rFonts w:cs="Times New Roman"/>
                <w:sz w:val="20"/>
                <w:szCs w:val="20"/>
                <w:lang w:eastAsia="es-ES"/>
              </w:rPr>
            </w:pPr>
            <w:r w:rsidRPr="00016BBF">
              <w:rPr>
                <w:rFonts w:cs="Times New Roman"/>
                <w:sz w:val="20"/>
                <w:szCs w:val="20"/>
                <w:lang w:eastAsia="es-ES"/>
              </w:rPr>
              <w:t>FB7</w:t>
            </w:r>
          </w:p>
        </w:tc>
        <w:tc>
          <w:tcPr>
            <w:tcW w:w="2084" w:type="dxa"/>
          </w:tcPr>
          <w:p w:rsidR="00FD28B7" w:rsidRPr="00016BBF" w:rsidRDefault="00FD28B7" w:rsidP="00FD28B7">
            <w:pPr>
              <w:tabs>
                <w:tab w:val="left" w:pos="990"/>
              </w:tabs>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8,22*10</w:t>
            </w:r>
            <w:r w:rsidRPr="00016BBF">
              <w:rPr>
                <w:rFonts w:cs="Times New Roman"/>
                <w:sz w:val="20"/>
                <w:szCs w:val="20"/>
                <w:vertAlign w:val="superscript"/>
                <w:lang w:eastAsia="es-ES"/>
              </w:rPr>
              <w:t>10</w:t>
            </w:r>
          </w:p>
        </w:tc>
      </w:tr>
      <w:tr w:rsidR="00FD28B7" w:rsidTr="00FD28B7">
        <w:tc>
          <w:tcPr>
            <w:cnfStyle w:val="001000000000" w:firstRow="0" w:lastRow="0" w:firstColumn="1" w:lastColumn="0" w:oddVBand="0" w:evenVBand="0" w:oddHBand="0" w:evenHBand="0" w:firstRowFirstColumn="0" w:firstRowLastColumn="0" w:lastRowFirstColumn="0" w:lastRowLastColumn="0"/>
            <w:tcW w:w="2264" w:type="dxa"/>
          </w:tcPr>
          <w:p w:rsidR="00FD28B7" w:rsidRPr="00016BBF" w:rsidRDefault="00FD28B7" w:rsidP="00FD28B7">
            <w:pPr>
              <w:tabs>
                <w:tab w:val="left" w:pos="990"/>
              </w:tabs>
              <w:spacing w:line="276" w:lineRule="auto"/>
              <w:jc w:val="center"/>
              <w:rPr>
                <w:rFonts w:cs="Times New Roman"/>
                <w:sz w:val="20"/>
                <w:szCs w:val="20"/>
                <w:lang w:eastAsia="es-ES"/>
              </w:rPr>
            </w:pPr>
            <w:r w:rsidRPr="00016BBF">
              <w:rPr>
                <w:rFonts w:cs="Times New Roman"/>
                <w:sz w:val="20"/>
                <w:szCs w:val="20"/>
                <w:lang w:eastAsia="es-ES"/>
              </w:rPr>
              <w:t>FB8</w:t>
            </w:r>
          </w:p>
        </w:tc>
        <w:tc>
          <w:tcPr>
            <w:tcW w:w="2084" w:type="dxa"/>
          </w:tcPr>
          <w:p w:rsidR="00FD28B7" w:rsidRPr="00016BBF" w:rsidRDefault="00FD28B7" w:rsidP="00FD28B7">
            <w:pPr>
              <w:tabs>
                <w:tab w:val="left" w:pos="990"/>
              </w:tabs>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1,317*10</w:t>
            </w:r>
            <w:r w:rsidRPr="00016BBF">
              <w:rPr>
                <w:rFonts w:cs="Times New Roman"/>
                <w:sz w:val="20"/>
                <w:szCs w:val="20"/>
                <w:vertAlign w:val="superscript"/>
                <w:lang w:eastAsia="es-ES"/>
              </w:rPr>
              <w:t>11</w:t>
            </w:r>
          </w:p>
        </w:tc>
      </w:tr>
      <w:tr w:rsidR="00FD28B7" w:rsidTr="00FD2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rsidR="00FD28B7" w:rsidRPr="00016BBF" w:rsidRDefault="00FD28B7" w:rsidP="00FD28B7">
            <w:pPr>
              <w:tabs>
                <w:tab w:val="left" w:pos="990"/>
              </w:tabs>
              <w:spacing w:line="276" w:lineRule="auto"/>
              <w:jc w:val="center"/>
              <w:rPr>
                <w:rFonts w:cs="Times New Roman"/>
                <w:sz w:val="20"/>
                <w:szCs w:val="20"/>
                <w:lang w:eastAsia="es-ES"/>
              </w:rPr>
            </w:pPr>
            <w:r w:rsidRPr="00016BBF">
              <w:rPr>
                <w:rFonts w:cs="Times New Roman"/>
                <w:sz w:val="20"/>
                <w:szCs w:val="20"/>
                <w:lang w:eastAsia="es-ES"/>
              </w:rPr>
              <w:t>FB9</w:t>
            </w:r>
          </w:p>
        </w:tc>
        <w:tc>
          <w:tcPr>
            <w:tcW w:w="2084" w:type="dxa"/>
          </w:tcPr>
          <w:p w:rsidR="00FD28B7" w:rsidRPr="00016BBF" w:rsidRDefault="00FD28B7" w:rsidP="00FD28B7">
            <w:pPr>
              <w:tabs>
                <w:tab w:val="left" w:pos="990"/>
              </w:tabs>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1,211*10</w:t>
            </w:r>
            <w:r w:rsidRPr="00016BBF">
              <w:rPr>
                <w:rFonts w:cs="Times New Roman"/>
                <w:sz w:val="20"/>
                <w:szCs w:val="20"/>
                <w:vertAlign w:val="superscript"/>
                <w:lang w:eastAsia="es-ES"/>
              </w:rPr>
              <w:t>11</w:t>
            </w:r>
          </w:p>
        </w:tc>
      </w:tr>
      <w:tr w:rsidR="00FD28B7" w:rsidTr="00FD28B7">
        <w:tc>
          <w:tcPr>
            <w:cnfStyle w:val="001000000000" w:firstRow="0" w:lastRow="0" w:firstColumn="1" w:lastColumn="0" w:oddVBand="0" w:evenVBand="0" w:oddHBand="0" w:evenHBand="0" w:firstRowFirstColumn="0" w:firstRowLastColumn="0" w:lastRowFirstColumn="0" w:lastRowLastColumn="0"/>
            <w:tcW w:w="2264" w:type="dxa"/>
          </w:tcPr>
          <w:p w:rsidR="00FD28B7" w:rsidRPr="00016BBF" w:rsidRDefault="00FD28B7" w:rsidP="00FD28B7">
            <w:pPr>
              <w:tabs>
                <w:tab w:val="left" w:pos="990"/>
              </w:tabs>
              <w:spacing w:line="276" w:lineRule="auto"/>
              <w:jc w:val="center"/>
              <w:rPr>
                <w:rFonts w:cs="Times New Roman"/>
                <w:sz w:val="20"/>
                <w:szCs w:val="20"/>
                <w:lang w:eastAsia="es-ES"/>
              </w:rPr>
            </w:pPr>
            <w:r w:rsidRPr="00016BBF">
              <w:rPr>
                <w:rFonts w:cs="Times New Roman"/>
                <w:sz w:val="20"/>
                <w:szCs w:val="20"/>
                <w:lang w:eastAsia="es-ES"/>
              </w:rPr>
              <w:t>FB10</w:t>
            </w:r>
          </w:p>
        </w:tc>
        <w:tc>
          <w:tcPr>
            <w:tcW w:w="2084" w:type="dxa"/>
          </w:tcPr>
          <w:p w:rsidR="00FD28B7" w:rsidRPr="00016BBF" w:rsidRDefault="00FD28B7" w:rsidP="00FD28B7">
            <w:pPr>
              <w:tabs>
                <w:tab w:val="left" w:pos="990"/>
              </w:tabs>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1,332*10</w:t>
            </w:r>
            <w:r w:rsidRPr="00016BBF">
              <w:rPr>
                <w:rFonts w:cs="Times New Roman"/>
                <w:sz w:val="20"/>
                <w:szCs w:val="20"/>
                <w:vertAlign w:val="superscript"/>
                <w:lang w:eastAsia="es-ES"/>
              </w:rPr>
              <w:t>11</w:t>
            </w:r>
          </w:p>
        </w:tc>
      </w:tr>
      <w:tr w:rsidR="00FD28B7" w:rsidTr="00FD2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rsidR="00FD28B7" w:rsidRPr="00016BBF" w:rsidRDefault="00FD28B7" w:rsidP="00FD28B7">
            <w:pPr>
              <w:tabs>
                <w:tab w:val="left" w:pos="990"/>
              </w:tabs>
              <w:spacing w:line="276" w:lineRule="auto"/>
              <w:jc w:val="center"/>
              <w:rPr>
                <w:rFonts w:cs="Times New Roman"/>
                <w:sz w:val="20"/>
                <w:szCs w:val="20"/>
                <w:lang w:eastAsia="es-ES"/>
              </w:rPr>
            </w:pPr>
            <w:r w:rsidRPr="00016BBF">
              <w:rPr>
                <w:rFonts w:cs="Times New Roman"/>
                <w:sz w:val="20"/>
                <w:szCs w:val="20"/>
                <w:lang w:eastAsia="es-ES"/>
              </w:rPr>
              <w:t>FB11</w:t>
            </w:r>
          </w:p>
        </w:tc>
        <w:tc>
          <w:tcPr>
            <w:tcW w:w="2084" w:type="dxa"/>
          </w:tcPr>
          <w:p w:rsidR="00FD28B7" w:rsidRPr="00016BBF" w:rsidRDefault="00FD28B7" w:rsidP="00FD28B7">
            <w:pPr>
              <w:tabs>
                <w:tab w:val="left" w:pos="990"/>
              </w:tabs>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1,332*10</w:t>
            </w:r>
            <w:r w:rsidRPr="00016BBF">
              <w:rPr>
                <w:rFonts w:cs="Times New Roman"/>
                <w:sz w:val="20"/>
                <w:szCs w:val="20"/>
                <w:vertAlign w:val="superscript"/>
                <w:lang w:eastAsia="es-ES"/>
              </w:rPr>
              <w:t>11</w:t>
            </w:r>
          </w:p>
        </w:tc>
      </w:tr>
      <w:tr w:rsidR="00FD28B7" w:rsidTr="00FD28B7">
        <w:tc>
          <w:tcPr>
            <w:cnfStyle w:val="001000000000" w:firstRow="0" w:lastRow="0" w:firstColumn="1" w:lastColumn="0" w:oddVBand="0" w:evenVBand="0" w:oddHBand="0" w:evenHBand="0" w:firstRowFirstColumn="0" w:firstRowLastColumn="0" w:lastRowFirstColumn="0" w:lastRowLastColumn="0"/>
            <w:tcW w:w="2264" w:type="dxa"/>
          </w:tcPr>
          <w:p w:rsidR="00FD28B7" w:rsidRPr="00016BBF" w:rsidRDefault="00FD28B7" w:rsidP="00FD28B7">
            <w:pPr>
              <w:tabs>
                <w:tab w:val="left" w:pos="990"/>
              </w:tabs>
              <w:spacing w:line="276" w:lineRule="auto"/>
              <w:jc w:val="center"/>
              <w:rPr>
                <w:rFonts w:cs="Times New Roman"/>
                <w:sz w:val="20"/>
                <w:szCs w:val="20"/>
                <w:lang w:eastAsia="es-ES"/>
              </w:rPr>
            </w:pPr>
            <w:r w:rsidRPr="00016BBF">
              <w:rPr>
                <w:rFonts w:cs="Times New Roman"/>
                <w:sz w:val="20"/>
                <w:szCs w:val="20"/>
                <w:lang w:eastAsia="es-ES"/>
              </w:rPr>
              <w:t>FB12</w:t>
            </w:r>
          </w:p>
        </w:tc>
        <w:tc>
          <w:tcPr>
            <w:tcW w:w="2084" w:type="dxa"/>
          </w:tcPr>
          <w:p w:rsidR="00FD28B7" w:rsidRPr="00016BBF" w:rsidRDefault="00FD28B7" w:rsidP="00FD28B7">
            <w:pPr>
              <w:tabs>
                <w:tab w:val="left" w:pos="990"/>
              </w:tabs>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1,127*10</w:t>
            </w:r>
            <w:r w:rsidRPr="00016BBF">
              <w:rPr>
                <w:rFonts w:cs="Times New Roman"/>
                <w:sz w:val="20"/>
                <w:szCs w:val="20"/>
                <w:vertAlign w:val="superscript"/>
                <w:lang w:eastAsia="es-ES"/>
              </w:rPr>
              <w:t>11</w:t>
            </w:r>
          </w:p>
        </w:tc>
      </w:tr>
      <w:tr w:rsidR="00FD28B7" w:rsidTr="00FD2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rsidR="00FD28B7" w:rsidRPr="00016BBF" w:rsidRDefault="00FD28B7" w:rsidP="00FD28B7">
            <w:pPr>
              <w:tabs>
                <w:tab w:val="left" w:pos="990"/>
              </w:tabs>
              <w:spacing w:line="276" w:lineRule="auto"/>
              <w:jc w:val="center"/>
              <w:rPr>
                <w:rFonts w:cs="Times New Roman"/>
                <w:sz w:val="20"/>
                <w:szCs w:val="20"/>
                <w:lang w:eastAsia="es-ES"/>
              </w:rPr>
            </w:pPr>
            <w:r w:rsidRPr="00016BBF">
              <w:rPr>
                <w:rFonts w:cs="Times New Roman"/>
                <w:sz w:val="20"/>
                <w:szCs w:val="20"/>
                <w:lang w:eastAsia="es-ES"/>
              </w:rPr>
              <w:t>FB13</w:t>
            </w:r>
          </w:p>
        </w:tc>
        <w:tc>
          <w:tcPr>
            <w:tcW w:w="2084" w:type="dxa"/>
          </w:tcPr>
          <w:p w:rsidR="00FD28B7" w:rsidRPr="00016BBF" w:rsidRDefault="00FD28B7" w:rsidP="00FD28B7">
            <w:pPr>
              <w:tabs>
                <w:tab w:val="left" w:pos="990"/>
              </w:tabs>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1,230*10</w:t>
            </w:r>
            <w:r w:rsidRPr="00016BBF">
              <w:rPr>
                <w:rFonts w:cs="Times New Roman"/>
                <w:sz w:val="20"/>
                <w:szCs w:val="20"/>
                <w:vertAlign w:val="superscript"/>
                <w:lang w:eastAsia="es-ES"/>
              </w:rPr>
              <w:t>11</w:t>
            </w:r>
          </w:p>
        </w:tc>
      </w:tr>
      <w:tr w:rsidR="00FD28B7" w:rsidTr="00FD28B7">
        <w:tc>
          <w:tcPr>
            <w:cnfStyle w:val="001000000000" w:firstRow="0" w:lastRow="0" w:firstColumn="1" w:lastColumn="0" w:oddVBand="0" w:evenVBand="0" w:oddHBand="0" w:evenHBand="0" w:firstRowFirstColumn="0" w:firstRowLastColumn="0" w:lastRowFirstColumn="0" w:lastRowLastColumn="0"/>
            <w:tcW w:w="2264" w:type="dxa"/>
          </w:tcPr>
          <w:p w:rsidR="00FD28B7" w:rsidRPr="00016BBF" w:rsidRDefault="00FD28B7" w:rsidP="00FD28B7">
            <w:pPr>
              <w:tabs>
                <w:tab w:val="left" w:pos="990"/>
              </w:tabs>
              <w:spacing w:line="276" w:lineRule="auto"/>
              <w:jc w:val="center"/>
              <w:rPr>
                <w:rFonts w:cs="Times New Roman"/>
                <w:sz w:val="20"/>
                <w:szCs w:val="20"/>
                <w:lang w:eastAsia="es-ES"/>
              </w:rPr>
            </w:pPr>
            <w:r w:rsidRPr="00016BBF">
              <w:rPr>
                <w:rFonts w:cs="Times New Roman"/>
                <w:sz w:val="20"/>
                <w:szCs w:val="20"/>
                <w:lang w:eastAsia="es-ES"/>
              </w:rPr>
              <w:t>FB14</w:t>
            </w:r>
          </w:p>
        </w:tc>
        <w:tc>
          <w:tcPr>
            <w:tcW w:w="2084" w:type="dxa"/>
          </w:tcPr>
          <w:p w:rsidR="00FD28B7" w:rsidRPr="00016BBF" w:rsidRDefault="00FD28B7" w:rsidP="00FD28B7">
            <w:pPr>
              <w:tabs>
                <w:tab w:val="left" w:pos="990"/>
              </w:tabs>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1,335*10</w:t>
            </w:r>
            <w:r w:rsidRPr="00016BBF">
              <w:rPr>
                <w:rFonts w:cs="Times New Roman"/>
                <w:sz w:val="20"/>
                <w:szCs w:val="20"/>
                <w:vertAlign w:val="superscript"/>
                <w:lang w:eastAsia="es-ES"/>
              </w:rPr>
              <w:t>9</w:t>
            </w:r>
          </w:p>
        </w:tc>
      </w:tr>
      <w:tr w:rsidR="00FD28B7" w:rsidTr="00FD2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rsidR="00FD28B7" w:rsidRPr="00016BBF" w:rsidRDefault="00FD28B7" w:rsidP="00FD28B7">
            <w:pPr>
              <w:tabs>
                <w:tab w:val="left" w:pos="990"/>
              </w:tabs>
              <w:spacing w:line="276" w:lineRule="auto"/>
              <w:jc w:val="center"/>
              <w:rPr>
                <w:rFonts w:cs="Times New Roman"/>
                <w:sz w:val="20"/>
                <w:szCs w:val="20"/>
                <w:lang w:eastAsia="es-ES"/>
              </w:rPr>
            </w:pPr>
            <w:r w:rsidRPr="00016BBF">
              <w:rPr>
                <w:rFonts w:cs="Times New Roman"/>
                <w:sz w:val="20"/>
                <w:szCs w:val="20"/>
                <w:lang w:eastAsia="es-ES"/>
              </w:rPr>
              <w:t>FB15</w:t>
            </w:r>
          </w:p>
        </w:tc>
        <w:tc>
          <w:tcPr>
            <w:tcW w:w="2084" w:type="dxa"/>
          </w:tcPr>
          <w:p w:rsidR="00FD28B7" w:rsidRPr="00016BBF" w:rsidRDefault="00FD28B7" w:rsidP="00FD28B7">
            <w:pPr>
              <w:tabs>
                <w:tab w:val="left" w:pos="990"/>
              </w:tabs>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1,339*10</w:t>
            </w:r>
            <w:r w:rsidRPr="00016BBF">
              <w:rPr>
                <w:rFonts w:cs="Times New Roman"/>
                <w:sz w:val="20"/>
                <w:szCs w:val="20"/>
                <w:vertAlign w:val="superscript"/>
                <w:lang w:eastAsia="es-ES"/>
              </w:rPr>
              <w:t>9</w:t>
            </w:r>
          </w:p>
        </w:tc>
      </w:tr>
      <w:tr w:rsidR="00FD28B7" w:rsidTr="00FD28B7">
        <w:tc>
          <w:tcPr>
            <w:cnfStyle w:val="001000000000" w:firstRow="0" w:lastRow="0" w:firstColumn="1" w:lastColumn="0" w:oddVBand="0" w:evenVBand="0" w:oddHBand="0" w:evenHBand="0" w:firstRowFirstColumn="0" w:firstRowLastColumn="0" w:lastRowFirstColumn="0" w:lastRowLastColumn="0"/>
            <w:tcW w:w="2264" w:type="dxa"/>
          </w:tcPr>
          <w:p w:rsidR="00FD28B7" w:rsidRPr="00016BBF" w:rsidRDefault="00FD28B7" w:rsidP="00FD28B7">
            <w:pPr>
              <w:tabs>
                <w:tab w:val="left" w:pos="990"/>
              </w:tabs>
              <w:spacing w:line="276" w:lineRule="auto"/>
              <w:jc w:val="center"/>
              <w:rPr>
                <w:rFonts w:cs="Times New Roman"/>
                <w:sz w:val="20"/>
                <w:szCs w:val="20"/>
                <w:lang w:eastAsia="es-ES"/>
              </w:rPr>
            </w:pPr>
            <w:r w:rsidRPr="00016BBF">
              <w:rPr>
                <w:rFonts w:cs="Times New Roman"/>
                <w:i/>
                <w:sz w:val="20"/>
                <w:szCs w:val="20"/>
                <w:lang w:eastAsia="es-ES"/>
              </w:rPr>
              <w:t xml:space="preserve">Biobac (B.subtilis </w:t>
            </w:r>
            <w:r w:rsidRPr="00016BBF">
              <w:rPr>
                <w:rFonts w:cs="Times New Roman"/>
                <w:sz w:val="20"/>
                <w:szCs w:val="20"/>
                <w:lang w:eastAsia="es-ES"/>
              </w:rPr>
              <w:t xml:space="preserve">+ </w:t>
            </w:r>
            <w:r w:rsidRPr="00016BBF">
              <w:rPr>
                <w:rFonts w:cs="Times New Roman"/>
                <w:i/>
                <w:sz w:val="20"/>
                <w:szCs w:val="20"/>
                <w:lang w:eastAsia="es-ES"/>
              </w:rPr>
              <w:t>B. pumilus)</w:t>
            </w:r>
          </w:p>
        </w:tc>
        <w:tc>
          <w:tcPr>
            <w:tcW w:w="2084" w:type="dxa"/>
          </w:tcPr>
          <w:p w:rsidR="00FD28B7" w:rsidRPr="00016BBF" w:rsidRDefault="00FD28B7" w:rsidP="00FD28B7">
            <w:pPr>
              <w:tabs>
                <w:tab w:val="left" w:pos="990"/>
              </w:tabs>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1,329*10</w:t>
            </w:r>
            <w:r w:rsidRPr="00016BBF">
              <w:rPr>
                <w:rFonts w:cs="Times New Roman"/>
                <w:sz w:val="20"/>
                <w:szCs w:val="20"/>
                <w:vertAlign w:val="superscript"/>
                <w:lang w:eastAsia="es-ES"/>
              </w:rPr>
              <w:t>9</w:t>
            </w:r>
          </w:p>
        </w:tc>
      </w:tr>
    </w:tbl>
    <w:p w:rsidR="005E79E6" w:rsidRDefault="005E79E6" w:rsidP="004A59FD">
      <w:pPr>
        <w:spacing w:after="0" w:line="240" w:lineRule="auto"/>
        <w:jc w:val="both"/>
        <w:rPr>
          <w:rFonts w:cs="Times New Roman"/>
          <w:sz w:val="22"/>
          <w:shd w:val="clear" w:color="auto" w:fill="FFFFFF"/>
        </w:rPr>
      </w:pPr>
    </w:p>
    <w:p w:rsidR="00016BBF" w:rsidRPr="004A59FD" w:rsidRDefault="00016BBF" w:rsidP="004A59FD">
      <w:pPr>
        <w:spacing w:after="0" w:line="240" w:lineRule="auto"/>
        <w:jc w:val="both"/>
        <w:rPr>
          <w:rFonts w:cs="Times New Roman"/>
          <w:sz w:val="22"/>
          <w:shd w:val="clear" w:color="auto" w:fill="FFFFFF"/>
        </w:rPr>
      </w:pPr>
      <w:r w:rsidRPr="00016BBF">
        <w:rPr>
          <w:rFonts w:cs="Times New Roman"/>
          <w:b/>
          <w:sz w:val="22"/>
          <w:shd w:val="clear" w:color="auto" w:fill="FFFFFF"/>
        </w:rPr>
        <w:t>Cuadro 3.</w:t>
      </w:r>
      <w:r>
        <w:rPr>
          <w:rFonts w:cs="Times New Roman"/>
          <w:sz w:val="22"/>
          <w:shd w:val="clear" w:color="auto" w:fill="FFFFFF"/>
        </w:rPr>
        <w:t xml:space="preserve"> Cepas positivas a la solubilización de </w:t>
      </w:r>
      <w:r w:rsidR="008F18FD">
        <w:rPr>
          <w:rFonts w:cs="Times New Roman"/>
          <w:sz w:val="22"/>
          <w:shd w:val="clear" w:color="auto" w:fill="FFFFFF"/>
        </w:rPr>
        <w:t>fosfatos</w:t>
      </w:r>
    </w:p>
    <w:tbl>
      <w:tblPr>
        <w:tblStyle w:val="Tablanormal2"/>
        <w:tblW w:w="0" w:type="auto"/>
        <w:tblLook w:val="04A0" w:firstRow="1" w:lastRow="0" w:firstColumn="1" w:lastColumn="0" w:noHBand="0" w:noVBand="1"/>
      </w:tblPr>
      <w:tblGrid>
        <w:gridCol w:w="1207"/>
        <w:gridCol w:w="1709"/>
        <w:gridCol w:w="1432"/>
      </w:tblGrid>
      <w:tr w:rsidR="00016BBF" w:rsidTr="00016BBF">
        <w:trPr>
          <w:cnfStyle w:val="100000000000" w:firstRow="1" w:lastRow="0" w:firstColumn="0" w:lastColumn="0" w:oddVBand="0" w:evenVBand="0" w:oddHBand="0"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843" w:type="dxa"/>
            <w:shd w:val="clear" w:color="auto" w:fill="E7E6E6" w:themeFill="background2"/>
          </w:tcPr>
          <w:p w:rsidR="00016BBF" w:rsidRPr="00016BBF" w:rsidRDefault="00016BBF" w:rsidP="008F18FD">
            <w:pPr>
              <w:spacing w:line="276" w:lineRule="auto"/>
              <w:rPr>
                <w:rFonts w:cs="Times New Roman"/>
                <w:b w:val="0"/>
                <w:sz w:val="20"/>
                <w:szCs w:val="20"/>
                <w:lang w:eastAsia="es-ES"/>
              </w:rPr>
            </w:pPr>
            <w:r w:rsidRPr="00016BBF">
              <w:rPr>
                <w:rFonts w:cs="Times New Roman"/>
                <w:b w:val="0"/>
                <w:sz w:val="20"/>
                <w:szCs w:val="20"/>
                <w:lang w:eastAsia="es-ES"/>
              </w:rPr>
              <w:t>Especie forestal</w:t>
            </w:r>
          </w:p>
        </w:tc>
        <w:tc>
          <w:tcPr>
            <w:tcW w:w="4025" w:type="dxa"/>
            <w:shd w:val="clear" w:color="auto" w:fill="E7E6E6" w:themeFill="background2"/>
          </w:tcPr>
          <w:p w:rsidR="00016BBF" w:rsidRPr="00016BBF" w:rsidRDefault="00016BBF" w:rsidP="008F18FD">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0"/>
                <w:szCs w:val="20"/>
                <w:lang w:eastAsia="es-ES"/>
              </w:rPr>
            </w:pPr>
            <w:r w:rsidRPr="00016BBF">
              <w:rPr>
                <w:rFonts w:cs="Times New Roman"/>
                <w:b w:val="0"/>
                <w:sz w:val="20"/>
                <w:szCs w:val="20"/>
                <w:lang w:eastAsia="es-ES"/>
              </w:rPr>
              <w:t>Bacterias seleccionadas</w:t>
            </w:r>
          </w:p>
          <w:p w:rsidR="00016BBF" w:rsidRPr="00016BBF" w:rsidRDefault="00016BBF" w:rsidP="008F18FD">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0"/>
                <w:szCs w:val="20"/>
                <w:lang w:eastAsia="es-ES"/>
              </w:rPr>
            </w:pPr>
            <w:r w:rsidRPr="00016BBF">
              <w:rPr>
                <w:rFonts w:cs="Times New Roman"/>
                <w:b w:val="0"/>
                <w:sz w:val="20"/>
                <w:szCs w:val="20"/>
                <w:lang w:eastAsia="es-ES"/>
              </w:rPr>
              <w:t>(tratamientos)</w:t>
            </w:r>
          </w:p>
        </w:tc>
        <w:tc>
          <w:tcPr>
            <w:tcW w:w="2916" w:type="dxa"/>
            <w:shd w:val="clear" w:color="auto" w:fill="E7E6E6" w:themeFill="background2"/>
          </w:tcPr>
          <w:p w:rsidR="00016BBF" w:rsidRPr="00016BBF" w:rsidRDefault="00016BBF" w:rsidP="008F18FD">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0"/>
                <w:szCs w:val="20"/>
                <w:lang w:eastAsia="es-ES"/>
              </w:rPr>
            </w:pPr>
            <w:r w:rsidRPr="00016BBF">
              <w:rPr>
                <w:rFonts w:cs="Times New Roman"/>
                <w:b w:val="0"/>
                <w:sz w:val="20"/>
                <w:szCs w:val="20"/>
                <w:lang w:eastAsia="es-ES"/>
              </w:rPr>
              <w:t>Formación de halo transparente</w:t>
            </w:r>
          </w:p>
        </w:tc>
      </w:tr>
      <w:tr w:rsidR="00016BBF" w:rsidTr="00C45B4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43" w:type="dxa"/>
          </w:tcPr>
          <w:p w:rsidR="00016BBF" w:rsidRPr="00016BBF" w:rsidRDefault="00016BBF" w:rsidP="008F18FD">
            <w:pPr>
              <w:spacing w:line="276" w:lineRule="auto"/>
              <w:rPr>
                <w:rFonts w:cs="Times New Roman"/>
                <w:sz w:val="20"/>
                <w:szCs w:val="20"/>
                <w:lang w:eastAsia="es-ES"/>
              </w:rPr>
            </w:pPr>
            <w:r w:rsidRPr="00016BBF">
              <w:rPr>
                <w:rFonts w:cs="Times New Roman"/>
                <w:sz w:val="20"/>
                <w:szCs w:val="20"/>
                <w:lang w:eastAsia="es-ES"/>
              </w:rPr>
              <w:t>Ceibo</w:t>
            </w:r>
          </w:p>
        </w:tc>
        <w:tc>
          <w:tcPr>
            <w:tcW w:w="4025" w:type="dxa"/>
          </w:tcPr>
          <w:p w:rsidR="00016BBF" w:rsidRPr="00016BBF" w:rsidRDefault="00016BBF" w:rsidP="008F18F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 xml:space="preserve">FB1, FB2, FB3, FB4, </w:t>
            </w:r>
          </w:p>
          <w:p w:rsidR="00016BBF" w:rsidRPr="00016BBF" w:rsidRDefault="00016BBF" w:rsidP="008F18F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FB5, FB6, FB7, FB8</w:t>
            </w:r>
          </w:p>
        </w:tc>
        <w:tc>
          <w:tcPr>
            <w:tcW w:w="2916" w:type="dxa"/>
          </w:tcPr>
          <w:p w:rsidR="00016BBF" w:rsidRPr="00016BBF" w:rsidRDefault="00016BBF" w:rsidP="008F18F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lang w:eastAsia="es-ES"/>
              </w:rPr>
            </w:pPr>
            <w:r w:rsidRPr="00016BBF">
              <w:rPr>
                <w:rFonts w:cs="Times New Roman"/>
                <w:b/>
                <w:sz w:val="20"/>
                <w:szCs w:val="20"/>
                <w:lang w:eastAsia="es-ES"/>
              </w:rPr>
              <w:t>FB1, FB4, FB5, FB6, FB7</w:t>
            </w:r>
          </w:p>
        </w:tc>
      </w:tr>
      <w:tr w:rsidR="00016BBF" w:rsidTr="00C45B4E">
        <w:trPr>
          <w:trHeight w:val="450"/>
        </w:trPr>
        <w:tc>
          <w:tcPr>
            <w:cnfStyle w:val="001000000000" w:firstRow="0" w:lastRow="0" w:firstColumn="1" w:lastColumn="0" w:oddVBand="0" w:evenVBand="0" w:oddHBand="0" w:evenHBand="0" w:firstRowFirstColumn="0" w:firstRowLastColumn="0" w:lastRowFirstColumn="0" w:lastRowLastColumn="0"/>
            <w:tcW w:w="1843" w:type="dxa"/>
          </w:tcPr>
          <w:p w:rsidR="00016BBF" w:rsidRPr="00016BBF" w:rsidRDefault="00016BBF" w:rsidP="008F18FD">
            <w:pPr>
              <w:spacing w:line="276" w:lineRule="auto"/>
              <w:rPr>
                <w:rFonts w:cs="Times New Roman"/>
                <w:sz w:val="20"/>
                <w:szCs w:val="20"/>
                <w:lang w:eastAsia="es-ES"/>
              </w:rPr>
            </w:pPr>
            <w:r w:rsidRPr="00016BBF">
              <w:rPr>
                <w:rFonts w:cs="Times New Roman"/>
                <w:sz w:val="20"/>
                <w:szCs w:val="20"/>
                <w:lang w:eastAsia="es-ES"/>
              </w:rPr>
              <w:t>Molle</w:t>
            </w:r>
          </w:p>
        </w:tc>
        <w:tc>
          <w:tcPr>
            <w:tcW w:w="4025" w:type="dxa"/>
          </w:tcPr>
          <w:p w:rsidR="00016BBF" w:rsidRPr="00016BBF" w:rsidRDefault="00016BBF" w:rsidP="008F18F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 xml:space="preserve">FB9, FB10, FB11, </w:t>
            </w:r>
          </w:p>
          <w:p w:rsidR="00016BBF" w:rsidRPr="00016BBF" w:rsidRDefault="00016BBF" w:rsidP="008F18F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eastAsia="es-ES"/>
              </w:rPr>
            </w:pPr>
            <w:r w:rsidRPr="00016BBF">
              <w:rPr>
                <w:rFonts w:cs="Times New Roman"/>
                <w:sz w:val="20"/>
                <w:szCs w:val="20"/>
                <w:lang w:eastAsia="es-ES"/>
              </w:rPr>
              <w:t>FB12, FB13,</w:t>
            </w:r>
          </w:p>
        </w:tc>
        <w:tc>
          <w:tcPr>
            <w:tcW w:w="2916" w:type="dxa"/>
          </w:tcPr>
          <w:p w:rsidR="00016BBF" w:rsidRPr="00016BBF" w:rsidRDefault="00016BBF" w:rsidP="008F18F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lang w:eastAsia="es-ES"/>
              </w:rPr>
            </w:pPr>
            <w:r w:rsidRPr="00016BBF">
              <w:rPr>
                <w:rFonts w:cs="Times New Roman"/>
                <w:b/>
                <w:sz w:val="20"/>
                <w:szCs w:val="20"/>
                <w:lang w:eastAsia="es-ES"/>
              </w:rPr>
              <w:t>FB10, FB12, FB13</w:t>
            </w:r>
          </w:p>
        </w:tc>
      </w:tr>
      <w:tr w:rsidR="00016BBF" w:rsidTr="00C45B4E">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843" w:type="dxa"/>
          </w:tcPr>
          <w:p w:rsidR="00016BBF" w:rsidRPr="00016BBF" w:rsidRDefault="00016BBF" w:rsidP="008F18FD">
            <w:pPr>
              <w:spacing w:line="276" w:lineRule="auto"/>
              <w:rPr>
                <w:rFonts w:cs="Times New Roman"/>
                <w:sz w:val="20"/>
                <w:szCs w:val="20"/>
                <w:lang w:eastAsia="es-ES"/>
              </w:rPr>
            </w:pPr>
            <w:r w:rsidRPr="00016BBF">
              <w:rPr>
                <w:rFonts w:cs="Times New Roman"/>
                <w:sz w:val="20"/>
                <w:szCs w:val="20"/>
                <w:lang w:eastAsia="es-ES"/>
              </w:rPr>
              <w:t>Algarrobo</w:t>
            </w:r>
          </w:p>
        </w:tc>
        <w:tc>
          <w:tcPr>
            <w:tcW w:w="4025" w:type="dxa"/>
          </w:tcPr>
          <w:p w:rsidR="00016BBF" w:rsidRPr="00016BBF" w:rsidRDefault="00C35865" w:rsidP="008F18F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es-ES"/>
              </w:rPr>
            </w:pPr>
            <w:r>
              <w:rPr>
                <w:rFonts w:cs="Times New Roman"/>
                <w:sz w:val="20"/>
                <w:szCs w:val="20"/>
                <w:lang w:eastAsia="es-ES"/>
              </w:rPr>
              <w:t>FB14, FB15</w:t>
            </w:r>
          </w:p>
        </w:tc>
        <w:tc>
          <w:tcPr>
            <w:tcW w:w="2916" w:type="dxa"/>
          </w:tcPr>
          <w:p w:rsidR="00016BBF" w:rsidRPr="00016BBF" w:rsidRDefault="00016BBF" w:rsidP="008F18F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eastAsia="es-ES"/>
              </w:rPr>
            </w:pPr>
          </w:p>
        </w:tc>
      </w:tr>
    </w:tbl>
    <w:p w:rsidR="00FD28B7" w:rsidRDefault="00FD28B7" w:rsidP="00A45FA8">
      <w:pPr>
        <w:spacing w:after="0" w:line="240" w:lineRule="auto"/>
        <w:jc w:val="both"/>
        <w:rPr>
          <w:rFonts w:cs="Times New Roman"/>
          <w:b/>
          <w:sz w:val="22"/>
          <w:lang w:eastAsia="es-ES"/>
        </w:rPr>
      </w:pPr>
    </w:p>
    <w:p w:rsidR="00FD28B7" w:rsidRDefault="00FD28B7" w:rsidP="00A45FA8">
      <w:pPr>
        <w:spacing w:after="0" w:line="240" w:lineRule="auto"/>
        <w:jc w:val="both"/>
        <w:rPr>
          <w:rFonts w:cs="Times New Roman"/>
          <w:b/>
          <w:sz w:val="22"/>
          <w:lang w:eastAsia="es-ES"/>
        </w:rPr>
      </w:pPr>
    </w:p>
    <w:p w:rsidR="00016BBF" w:rsidRDefault="00016BBF" w:rsidP="00A45FA8">
      <w:pPr>
        <w:spacing w:after="0" w:line="240" w:lineRule="auto"/>
        <w:jc w:val="both"/>
        <w:rPr>
          <w:rFonts w:cs="Times New Roman"/>
          <w:b/>
          <w:sz w:val="22"/>
          <w:lang w:eastAsia="es-ES"/>
        </w:rPr>
      </w:pPr>
      <w:r>
        <w:rPr>
          <w:rFonts w:cs="Times New Roman"/>
          <w:b/>
          <w:sz w:val="22"/>
          <w:lang w:eastAsia="es-ES"/>
        </w:rPr>
        <w:lastRenderedPageBreak/>
        <w:t>Fase II: b</w:t>
      </w:r>
      <w:r w:rsidRPr="00016BBF">
        <w:rPr>
          <w:rFonts w:cs="Times New Roman"/>
          <w:b/>
          <w:sz w:val="22"/>
          <w:lang w:eastAsia="es-ES"/>
        </w:rPr>
        <w:t>io</w:t>
      </w:r>
      <w:r>
        <w:rPr>
          <w:rFonts w:cs="Times New Roman"/>
          <w:b/>
          <w:sz w:val="22"/>
          <w:lang w:eastAsia="es-ES"/>
        </w:rPr>
        <w:t>e</w:t>
      </w:r>
      <w:r w:rsidRPr="00016BBF">
        <w:rPr>
          <w:rFonts w:cs="Times New Roman"/>
          <w:b/>
          <w:sz w:val="22"/>
          <w:lang w:eastAsia="es-ES"/>
        </w:rPr>
        <w:t>nsayos en invernadero</w:t>
      </w:r>
    </w:p>
    <w:p w:rsidR="00016BBF" w:rsidRDefault="00016BBF" w:rsidP="00580136">
      <w:pPr>
        <w:spacing w:after="0" w:line="360" w:lineRule="auto"/>
        <w:jc w:val="both"/>
        <w:rPr>
          <w:rFonts w:cs="Times New Roman"/>
          <w:b/>
          <w:sz w:val="22"/>
          <w:lang w:eastAsia="es-ES"/>
        </w:rPr>
      </w:pPr>
      <w:r>
        <w:rPr>
          <w:rFonts w:cs="Times New Roman"/>
          <w:b/>
          <w:sz w:val="22"/>
          <w:lang w:eastAsia="es-ES"/>
        </w:rPr>
        <w:t>Altura de planta</w:t>
      </w:r>
    </w:p>
    <w:p w:rsidR="00A07782" w:rsidRDefault="00C71572" w:rsidP="00580136">
      <w:pPr>
        <w:spacing w:after="0" w:line="360" w:lineRule="auto"/>
        <w:jc w:val="both"/>
        <w:rPr>
          <w:rFonts w:cs="Times New Roman"/>
          <w:sz w:val="22"/>
          <w:lang w:eastAsia="es-ES"/>
        </w:rPr>
      </w:pPr>
      <w:r>
        <w:rPr>
          <w:rFonts w:cs="Times New Roman"/>
          <w:sz w:val="22"/>
          <w:lang w:eastAsia="es-ES"/>
        </w:rPr>
        <w:t>S</w:t>
      </w:r>
      <w:r w:rsidR="004158CE">
        <w:rPr>
          <w:rFonts w:cs="Times New Roman"/>
          <w:sz w:val="22"/>
          <w:lang w:eastAsia="es-ES"/>
        </w:rPr>
        <w:t xml:space="preserve">e </w:t>
      </w:r>
      <w:r w:rsidR="0068796C">
        <w:rPr>
          <w:rFonts w:cs="Times New Roman"/>
          <w:sz w:val="22"/>
          <w:lang w:eastAsia="es-ES"/>
        </w:rPr>
        <w:t>encontró</w:t>
      </w:r>
      <w:r w:rsidR="00433D1B" w:rsidRPr="005B2020">
        <w:rPr>
          <w:rFonts w:cs="Times New Roman"/>
          <w:sz w:val="22"/>
          <w:lang w:eastAsia="es-ES"/>
        </w:rPr>
        <w:t xml:space="preserve"> diferencias significativas (Pr≤0.05) para el efecto fijo de las bacterias, </w:t>
      </w:r>
      <w:r w:rsidR="00A07782">
        <w:rPr>
          <w:rFonts w:cs="Times New Roman"/>
          <w:sz w:val="22"/>
          <w:lang w:eastAsia="es-ES"/>
        </w:rPr>
        <w:t xml:space="preserve">roca fosfórica y la interacción </w:t>
      </w:r>
      <w:r w:rsidR="00A07782" w:rsidRPr="005B2020">
        <w:rPr>
          <w:rFonts w:cs="Times New Roman"/>
          <w:sz w:val="22"/>
          <w:lang w:eastAsia="es-ES"/>
        </w:rPr>
        <w:t>de bacterias con la fuente de fósforo</w:t>
      </w:r>
      <w:r w:rsidR="00A44832">
        <w:rPr>
          <w:rFonts w:cs="Times New Roman"/>
          <w:sz w:val="22"/>
          <w:lang w:eastAsia="es-ES"/>
        </w:rPr>
        <w:t>.</w:t>
      </w:r>
      <w:r w:rsidR="00A07782" w:rsidRPr="005B2020">
        <w:rPr>
          <w:rFonts w:cs="Times New Roman"/>
          <w:sz w:val="22"/>
          <w:lang w:eastAsia="es-ES"/>
        </w:rPr>
        <w:t xml:space="preserve"> </w:t>
      </w:r>
    </w:p>
    <w:p w:rsidR="00433D1B" w:rsidRDefault="00AD6915" w:rsidP="00580136">
      <w:pPr>
        <w:spacing w:after="0" w:line="360" w:lineRule="auto"/>
        <w:jc w:val="both"/>
        <w:rPr>
          <w:rFonts w:cs="Times New Roman"/>
          <w:color w:val="000000"/>
          <w:sz w:val="22"/>
        </w:rPr>
      </w:pPr>
      <w:r>
        <w:rPr>
          <w:rFonts w:cs="Times New Roman"/>
          <w:sz w:val="22"/>
          <w:lang w:eastAsia="es-ES"/>
        </w:rPr>
        <w:t xml:space="preserve">Los resultados </w:t>
      </w:r>
      <w:r w:rsidR="00433D1B" w:rsidRPr="005B2020">
        <w:rPr>
          <w:rFonts w:cs="Times New Roman"/>
          <w:sz w:val="22"/>
          <w:lang w:eastAsia="es-ES"/>
        </w:rPr>
        <w:t>de los tratamientos con bacterias y sin roca fosfórica (Figura</w:t>
      </w:r>
      <w:r w:rsidR="00A07782">
        <w:rPr>
          <w:rFonts w:cs="Times New Roman"/>
          <w:sz w:val="22"/>
          <w:lang w:eastAsia="es-ES"/>
        </w:rPr>
        <w:t xml:space="preserve"> 1</w:t>
      </w:r>
      <w:r w:rsidR="00433D1B" w:rsidRPr="005B2020">
        <w:rPr>
          <w:rFonts w:cs="Times New Roman"/>
          <w:sz w:val="22"/>
          <w:lang w:eastAsia="es-ES"/>
        </w:rPr>
        <w:t xml:space="preserve">) mostraron que las cepas  de </w:t>
      </w:r>
      <w:r w:rsidR="00433D1B" w:rsidRPr="005B2020">
        <w:rPr>
          <w:rFonts w:cs="Times New Roman"/>
          <w:i/>
          <w:sz w:val="22"/>
          <w:lang w:eastAsia="es-ES"/>
        </w:rPr>
        <w:t>Bacillus</w:t>
      </w:r>
      <w:r w:rsidR="00433D1B" w:rsidRPr="005B2020">
        <w:rPr>
          <w:rFonts w:cs="Times New Roman"/>
          <w:sz w:val="22"/>
          <w:lang w:eastAsia="es-ES"/>
        </w:rPr>
        <w:t xml:space="preserve"> aislados FB12 y FB1 obtuvieron mejores resultados en comparación con las demás cepas con una altura 28.7 y 27.8 cm, respectivamente, sin embargo no se halló diferencias significativas </w:t>
      </w:r>
      <w:r w:rsidR="00C35865">
        <w:rPr>
          <w:rFonts w:cs="Times New Roman"/>
          <w:sz w:val="22"/>
          <w:lang w:eastAsia="es-ES"/>
        </w:rPr>
        <w:t xml:space="preserve">respecto al testigo comercial con </w:t>
      </w:r>
      <w:r w:rsidR="00433D1B" w:rsidRPr="005B2020">
        <w:rPr>
          <w:rFonts w:cs="Times New Roman"/>
          <w:sz w:val="22"/>
          <w:lang w:eastAsia="es-ES"/>
        </w:rPr>
        <w:t xml:space="preserve">una altura promedio de 29.8 cm. El tratamiento que registró menores alturas fue el T0 (Testigo absoluto). </w:t>
      </w:r>
      <w:r w:rsidR="00433D1B" w:rsidRPr="00D14768">
        <w:rPr>
          <w:rFonts w:cs="Times New Roman"/>
          <w:color w:val="000000"/>
          <w:sz w:val="22"/>
          <w:shd w:val="clear" w:color="auto" w:fill="FFFFFF"/>
        </w:rPr>
        <w:t xml:space="preserve">Por otra parte, en los tratamientos donde se aplicó roca fosfórica </w:t>
      </w:r>
      <w:r w:rsidR="00A07782">
        <w:rPr>
          <w:rFonts w:cs="Times New Roman"/>
          <w:color w:val="000000"/>
          <w:sz w:val="22"/>
          <w:shd w:val="clear" w:color="auto" w:fill="FFFFFF"/>
        </w:rPr>
        <w:t>(Figura 2</w:t>
      </w:r>
      <w:r>
        <w:rPr>
          <w:rFonts w:cs="Times New Roman"/>
          <w:color w:val="000000"/>
          <w:sz w:val="22"/>
          <w:shd w:val="clear" w:color="auto" w:fill="FFFFFF"/>
        </w:rPr>
        <w:t xml:space="preserve">), </w:t>
      </w:r>
      <w:r w:rsidR="00433D1B" w:rsidRPr="00D14768">
        <w:rPr>
          <w:rFonts w:cs="Times New Roman"/>
          <w:color w:val="000000"/>
          <w:sz w:val="22"/>
          <w:shd w:val="clear" w:color="auto" w:fill="FFFFFF"/>
        </w:rPr>
        <w:t>las alturas más bajas se registraron en el T0 (testigo</w:t>
      </w:r>
      <w:r w:rsidR="00433D1B" w:rsidRPr="005B2020">
        <w:rPr>
          <w:rFonts w:cs="Times New Roman"/>
          <w:color w:val="000000"/>
          <w:sz w:val="22"/>
          <w:shd w:val="clear" w:color="auto" w:fill="FFFFFF"/>
        </w:rPr>
        <w:t xml:space="preserve"> </w:t>
      </w:r>
      <w:r w:rsidR="00C35865">
        <w:rPr>
          <w:rFonts w:cs="Times New Roman"/>
          <w:color w:val="000000"/>
          <w:sz w:val="22"/>
          <w:shd w:val="clear" w:color="auto" w:fill="FFFFFF"/>
        </w:rPr>
        <w:t>absoluto), T4 (</w:t>
      </w:r>
      <w:r w:rsidR="00433D1B" w:rsidRPr="00D14768">
        <w:rPr>
          <w:rFonts w:cs="Times New Roman"/>
          <w:color w:val="000000"/>
          <w:sz w:val="22"/>
          <w:shd w:val="clear" w:color="auto" w:fill="FFFFFF"/>
        </w:rPr>
        <w:t>FB2), T18</w:t>
      </w:r>
      <w:r>
        <w:rPr>
          <w:rFonts w:cs="Times New Roman"/>
          <w:color w:val="000000"/>
          <w:sz w:val="22"/>
          <w:shd w:val="clear" w:color="auto" w:fill="FFFFFF"/>
        </w:rPr>
        <w:t xml:space="preserve"> (FB9), con alturas similares a</w:t>
      </w:r>
      <w:r w:rsidR="00433D1B" w:rsidRPr="00D14768">
        <w:rPr>
          <w:rFonts w:cs="Times New Roman"/>
          <w:color w:val="000000"/>
          <w:sz w:val="22"/>
          <w:shd w:val="clear" w:color="auto" w:fill="FFFFFF"/>
        </w:rPr>
        <w:t xml:space="preserve"> 20 cm. Mientras que T</w:t>
      </w:r>
      <w:r w:rsidR="00DD7321">
        <w:rPr>
          <w:rFonts w:cs="Times New Roman"/>
          <w:color w:val="000000"/>
          <w:sz w:val="22"/>
          <w:shd w:val="clear" w:color="auto" w:fill="FFFFFF"/>
        </w:rPr>
        <w:t>24 (FB12)</w:t>
      </w:r>
      <w:r w:rsidR="00433D1B" w:rsidRPr="00D14768">
        <w:rPr>
          <w:rFonts w:cs="Times New Roman"/>
          <w:color w:val="000000"/>
          <w:sz w:val="22"/>
          <w:shd w:val="clear" w:color="auto" w:fill="FFFFFF"/>
        </w:rPr>
        <w:t xml:space="preserve"> </w:t>
      </w:r>
      <w:r w:rsidR="00DD7321">
        <w:rPr>
          <w:rFonts w:cs="Times New Roman"/>
          <w:color w:val="000000"/>
          <w:sz w:val="22"/>
          <w:shd w:val="clear" w:color="auto" w:fill="FFFFFF"/>
        </w:rPr>
        <w:t xml:space="preserve"> </w:t>
      </w:r>
      <w:r w:rsidR="00433D1B" w:rsidRPr="00D14768">
        <w:rPr>
          <w:rFonts w:cs="Times New Roman"/>
          <w:color w:val="000000"/>
          <w:sz w:val="22"/>
          <w:shd w:val="clear" w:color="auto" w:fill="FFFFFF"/>
        </w:rPr>
        <w:t>se mostró sobresaliente ante las demás cepas con</w:t>
      </w:r>
      <w:r w:rsidR="00C71572">
        <w:rPr>
          <w:rFonts w:cs="Times New Roman"/>
          <w:color w:val="000000"/>
          <w:sz w:val="22"/>
          <w:shd w:val="clear" w:color="auto" w:fill="FFFFFF"/>
        </w:rPr>
        <w:t xml:space="preserve"> una altura promedio de 48.3 cm</w:t>
      </w:r>
      <w:r w:rsidR="00DD7321">
        <w:rPr>
          <w:rFonts w:cs="Times New Roman"/>
          <w:color w:val="000000"/>
          <w:sz w:val="22"/>
          <w:shd w:val="clear" w:color="auto" w:fill="FFFFFF"/>
        </w:rPr>
        <w:t>. E</w:t>
      </w:r>
      <w:r w:rsidR="00433D1B" w:rsidRPr="00D14768">
        <w:rPr>
          <w:rFonts w:cs="Times New Roman"/>
          <w:color w:val="000000"/>
          <w:sz w:val="22"/>
          <w:shd w:val="clear" w:color="auto" w:fill="FFFFFF"/>
        </w:rPr>
        <w:t>stos resultados podrían indicar la relación de la capacidad solubilizadora de fós</w:t>
      </w:r>
      <w:r w:rsidR="00DD7321">
        <w:rPr>
          <w:rFonts w:cs="Times New Roman"/>
          <w:color w:val="000000"/>
          <w:sz w:val="22"/>
          <w:shd w:val="clear" w:color="auto" w:fill="FFFFFF"/>
        </w:rPr>
        <w:t xml:space="preserve">foro de </w:t>
      </w:r>
      <w:r w:rsidR="00DD7321" w:rsidRPr="00DD7321">
        <w:rPr>
          <w:rFonts w:cs="Times New Roman"/>
          <w:i/>
          <w:color w:val="000000"/>
          <w:sz w:val="22"/>
          <w:shd w:val="clear" w:color="auto" w:fill="FFFFFF"/>
        </w:rPr>
        <w:t>Bacillus</w:t>
      </w:r>
      <w:r w:rsidR="00433D1B" w:rsidRPr="00DD7321">
        <w:rPr>
          <w:rFonts w:cs="Times New Roman"/>
          <w:i/>
          <w:color w:val="000000"/>
          <w:sz w:val="22"/>
          <w:shd w:val="clear" w:color="auto" w:fill="FFFFFF"/>
        </w:rPr>
        <w:t xml:space="preserve"> </w:t>
      </w:r>
      <w:r w:rsidR="00433D1B" w:rsidRPr="00D14768">
        <w:rPr>
          <w:rFonts w:cs="Times New Roman"/>
          <w:color w:val="000000"/>
          <w:sz w:val="22"/>
          <w:shd w:val="clear" w:color="auto" w:fill="FFFFFF"/>
        </w:rPr>
        <w:t>con la promoción de crecimiento vegetal.</w:t>
      </w:r>
      <w:r>
        <w:rPr>
          <w:rFonts w:cs="Times New Roman"/>
          <w:color w:val="000000"/>
          <w:sz w:val="22"/>
          <w:shd w:val="clear" w:color="auto" w:fill="FFFFFF"/>
        </w:rPr>
        <w:t xml:space="preserve"> </w:t>
      </w:r>
      <w:r w:rsidRPr="005B2020">
        <w:rPr>
          <w:rFonts w:cs="Times New Roman"/>
          <w:sz w:val="22"/>
          <w:lang w:eastAsia="es-ES"/>
        </w:rPr>
        <w:t xml:space="preserve">Sánchez </w:t>
      </w:r>
      <w:r w:rsidRPr="00654F89">
        <w:rPr>
          <w:rFonts w:cs="Times New Roman"/>
          <w:sz w:val="22"/>
          <w:lang w:eastAsia="es-ES"/>
        </w:rPr>
        <w:t>et al</w:t>
      </w:r>
      <w:r w:rsidRPr="005B2020">
        <w:rPr>
          <w:rFonts w:cs="Times New Roman"/>
          <w:i/>
          <w:sz w:val="22"/>
          <w:lang w:eastAsia="es-ES"/>
        </w:rPr>
        <w:t>.</w:t>
      </w:r>
      <w:r w:rsidRPr="005B2020">
        <w:rPr>
          <w:rFonts w:cs="Times New Roman"/>
          <w:sz w:val="22"/>
          <w:lang w:eastAsia="es-ES"/>
        </w:rPr>
        <w:t xml:space="preserve"> </w:t>
      </w:r>
      <w:r w:rsidR="00C71572">
        <w:rPr>
          <w:rFonts w:cs="Times New Roman"/>
          <w:sz w:val="22"/>
          <w:lang w:eastAsia="es-ES"/>
        </w:rPr>
        <w:t xml:space="preserve">(2012) encontró que la </w:t>
      </w:r>
      <w:r w:rsidRPr="005B2020">
        <w:rPr>
          <w:rFonts w:cs="Times New Roman"/>
          <w:sz w:val="22"/>
          <w:lang w:eastAsia="es-ES"/>
        </w:rPr>
        <w:t xml:space="preserve">altura de </w:t>
      </w:r>
      <w:r w:rsidR="00C71572">
        <w:rPr>
          <w:rFonts w:cs="Times New Roman"/>
          <w:color w:val="000000"/>
          <w:sz w:val="22"/>
        </w:rPr>
        <w:t>planta enm</w:t>
      </w:r>
      <w:r w:rsidRPr="005B2020">
        <w:rPr>
          <w:rFonts w:cs="Times New Roman"/>
          <w:color w:val="000000"/>
          <w:sz w:val="22"/>
        </w:rPr>
        <w:t>tomate mostró incrementos en el tamaño de la planta hasta dos veces en los tratamientos con </w:t>
      </w:r>
      <w:r w:rsidRPr="005B2020">
        <w:rPr>
          <w:rFonts w:cs="Times New Roman"/>
          <w:i/>
          <w:iCs/>
          <w:color w:val="000000"/>
          <w:sz w:val="22"/>
        </w:rPr>
        <w:t>Enterobacter</w:t>
      </w:r>
      <w:r w:rsidRPr="005B2020">
        <w:rPr>
          <w:rFonts w:cs="Times New Roman"/>
          <w:color w:val="000000"/>
          <w:sz w:val="22"/>
        </w:rPr>
        <w:t> sp. TVL-2 y </w:t>
      </w:r>
      <w:r w:rsidRPr="005B2020">
        <w:rPr>
          <w:rFonts w:cs="Times New Roman"/>
          <w:i/>
          <w:iCs/>
          <w:color w:val="000000"/>
          <w:sz w:val="22"/>
        </w:rPr>
        <w:t>Bacillus</w:t>
      </w:r>
      <w:r w:rsidRPr="005B2020">
        <w:rPr>
          <w:rFonts w:cs="Times New Roman"/>
          <w:color w:val="000000"/>
          <w:sz w:val="22"/>
        </w:rPr>
        <w:t> sp. BEOO2 en el segundo mes de muestre</w:t>
      </w:r>
      <w:r>
        <w:rPr>
          <w:rFonts w:cs="Times New Roman"/>
          <w:color w:val="000000"/>
          <w:sz w:val="22"/>
        </w:rPr>
        <w:t>o, respecto al testigo absoluto y</w:t>
      </w:r>
      <w:r w:rsidRPr="005B2020">
        <w:rPr>
          <w:rFonts w:cs="Times New Roman"/>
          <w:color w:val="000000"/>
          <w:sz w:val="22"/>
        </w:rPr>
        <w:t xml:space="preserve"> </w:t>
      </w:r>
      <w:r>
        <w:rPr>
          <w:rFonts w:cs="Times New Roman"/>
          <w:color w:val="000000"/>
          <w:sz w:val="22"/>
        </w:rPr>
        <w:t xml:space="preserve">una diferencia del 30% con el </w:t>
      </w:r>
      <w:r w:rsidRPr="005B2020">
        <w:rPr>
          <w:rFonts w:cs="Times New Roman"/>
          <w:color w:val="000000"/>
          <w:sz w:val="22"/>
        </w:rPr>
        <w:t>testig</w:t>
      </w:r>
      <w:r>
        <w:rPr>
          <w:rFonts w:cs="Times New Roman"/>
          <w:color w:val="000000"/>
          <w:sz w:val="22"/>
        </w:rPr>
        <w:t>o químico.</w:t>
      </w:r>
    </w:p>
    <w:p w:rsidR="00C71572" w:rsidRPr="00AD6915" w:rsidRDefault="00C71572" w:rsidP="00C71572">
      <w:pPr>
        <w:spacing w:line="360" w:lineRule="auto"/>
        <w:jc w:val="both"/>
        <w:rPr>
          <w:rFonts w:cs="Times New Roman"/>
          <w:sz w:val="22"/>
        </w:rPr>
      </w:pPr>
      <w:r>
        <w:rPr>
          <w:rFonts w:cs="Times New Roman"/>
          <w:sz w:val="22"/>
          <w:lang w:eastAsia="es-ES"/>
        </w:rPr>
        <w:t>L</w:t>
      </w:r>
      <w:r w:rsidRPr="006B6ED5">
        <w:rPr>
          <w:rFonts w:cs="Times New Roman"/>
          <w:sz w:val="22"/>
          <w:lang w:eastAsia="es-ES"/>
        </w:rPr>
        <w:t>a aplica</w:t>
      </w:r>
      <w:r>
        <w:rPr>
          <w:rFonts w:cs="Times New Roman"/>
          <w:sz w:val="22"/>
          <w:lang w:eastAsia="es-ES"/>
        </w:rPr>
        <w:t>ción de roca fosfórica</w:t>
      </w:r>
      <w:r w:rsidRPr="006B6ED5">
        <w:rPr>
          <w:rFonts w:cs="Times New Roman"/>
          <w:sz w:val="22"/>
          <w:lang w:eastAsia="es-ES"/>
        </w:rPr>
        <w:t xml:space="preserve"> tuvo un efecto significativo donde se halló alturas de planta </w:t>
      </w:r>
      <w:r w:rsidRPr="006B6ED5">
        <w:rPr>
          <w:rFonts w:cs="Times New Roman"/>
          <w:sz w:val="22"/>
          <w:lang w:eastAsia="es-ES"/>
        </w:rPr>
        <w:lastRenderedPageBreak/>
        <w:t>promedio de 28 cm,  en comparación a aquellos tratamientos donde no se aplicó la fuente de</w:t>
      </w:r>
      <w:r>
        <w:rPr>
          <w:rFonts w:cs="Times New Roman"/>
          <w:szCs w:val="24"/>
          <w:lang w:eastAsia="es-ES"/>
        </w:rPr>
        <w:t xml:space="preserve"> </w:t>
      </w:r>
      <w:r w:rsidRPr="006B6ED5">
        <w:rPr>
          <w:rFonts w:cs="Times New Roman"/>
          <w:sz w:val="22"/>
          <w:lang w:eastAsia="es-ES"/>
        </w:rPr>
        <w:t>fósforo, estas reportaron alturas promedio de 23 cm (figura 3).</w:t>
      </w:r>
    </w:p>
    <w:p w:rsidR="00A44832" w:rsidRPr="00654F89" w:rsidRDefault="00F91832" w:rsidP="00654F89">
      <w:pPr>
        <w:spacing w:before="240" w:line="240" w:lineRule="auto"/>
        <w:rPr>
          <w:rFonts w:cs="Times New Roman"/>
          <w:sz w:val="22"/>
        </w:rPr>
      </w:pPr>
      <w:bookmarkStart w:id="15" w:name="_Toc100956043"/>
      <w:bookmarkStart w:id="16" w:name="_Toc103031212"/>
      <w:bookmarkStart w:id="17" w:name="_Toc103032056"/>
      <w:r w:rsidRPr="007F5B6D">
        <w:rPr>
          <w:rFonts w:cs="Times New Roman"/>
          <w:b/>
          <w:i/>
          <w:noProof/>
          <w:szCs w:val="24"/>
          <w:lang w:val="es-BO" w:eastAsia="es-BO"/>
        </w:rPr>
        <w:drawing>
          <wp:anchor distT="0" distB="0" distL="114300" distR="114300" simplePos="0" relativeHeight="251678720" behindDoc="0" locked="0" layoutInCell="1" allowOverlap="1" wp14:anchorId="13B977B4" wp14:editId="4D31EC10">
            <wp:simplePos x="0" y="0"/>
            <wp:positionH relativeFrom="margin">
              <wp:align>right</wp:align>
            </wp:positionH>
            <wp:positionV relativeFrom="paragraph">
              <wp:posOffset>424815</wp:posOffset>
            </wp:positionV>
            <wp:extent cx="2752725" cy="1685925"/>
            <wp:effectExtent l="0" t="0" r="9525" b="9525"/>
            <wp:wrapSquare wrapText="bothSides"/>
            <wp:docPr id="204" name="Gráfico 2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bookmarkEnd w:id="15"/>
      <w:bookmarkEnd w:id="16"/>
      <w:bookmarkEnd w:id="17"/>
      <w:r w:rsidR="00654F89">
        <w:rPr>
          <w:rFonts w:cs="Times New Roman"/>
          <w:b/>
          <w:sz w:val="22"/>
        </w:rPr>
        <w:t>Figura</w:t>
      </w:r>
      <w:r w:rsidR="00A44832" w:rsidRPr="005E79E6">
        <w:rPr>
          <w:rFonts w:cs="Times New Roman"/>
          <w:b/>
          <w:i/>
          <w:sz w:val="22"/>
        </w:rPr>
        <w:t xml:space="preserve"> </w:t>
      </w:r>
      <w:r w:rsidR="00A44832" w:rsidRPr="005E79E6">
        <w:rPr>
          <w:rFonts w:cs="Times New Roman"/>
          <w:b/>
          <w:sz w:val="22"/>
        </w:rPr>
        <w:t>1</w:t>
      </w:r>
      <w:r w:rsidR="00654F89">
        <w:rPr>
          <w:rFonts w:cs="Times New Roman"/>
          <w:b/>
          <w:sz w:val="22"/>
        </w:rPr>
        <w:t>.</w:t>
      </w:r>
      <w:r w:rsidR="00A44832" w:rsidRPr="005E79E6">
        <w:rPr>
          <w:rFonts w:cs="Times New Roman"/>
          <w:sz w:val="22"/>
        </w:rPr>
        <w:t xml:space="preserve">   Efecto de la inoculación de </w:t>
      </w:r>
      <w:r w:rsidR="00A44832" w:rsidRPr="005E79E6">
        <w:rPr>
          <w:rFonts w:cs="Times New Roman"/>
          <w:i/>
          <w:sz w:val="22"/>
        </w:rPr>
        <w:t xml:space="preserve">Bacillus </w:t>
      </w:r>
      <w:r w:rsidR="00A44832" w:rsidRPr="005E79E6">
        <w:rPr>
          <w:rFonts w:cs="Times New Roman"/>
          <w:sz w:val="22"/>
        </w:rPr>
        <w:t>spp. en la altura de planta</w:t>
      </w:r>
    </w:p>
    <w:p w:rsidR="00C71572" w:rsidRDefault="00C71572" w:rsidP="00A44832">
      <w:pPr>
        <w:spacing w:line="240" w:lineRule="auto"/>
        <w:jc w:val="both"/>
        <w:rPr>
          <w:rFonts w:cs="Times New Roman"/>
          <w:b/>
          <w:sz w:val="22"/>
        </w:rPr>
      </w:pPr>
    </w:p>
    <w:p w:rsidR="00BD7E66" w:rsidRDefault="00F67909" w:rsidP="00A44832">
      <w:pPr>
        <w:spacing w:line="240" w:lineRule="auto"/>
        <w:jc w:val="both"/>
        <w:rPr>
          <w:rFonts w:cs="Times New Roman"/>
          <w:sz w:val="22"/>
        </w:rPr>
      </w:pPr>
      <w:bookmarkStart w:id="18" w:name="_Toc103031213"/>
      <w:bookmarkStart w:id="19" w:name="_Toc103032057"/>
      <w:r w:rsidRPr="00F74269">
        <w:rPr>
          <w:rFonts w:cs="Times New Roman"/>
          <w:b/>
          <w:i/>
          <w:noProof/>
          <w:szCs w:val="24"/>
          <w:lang w:val="es-BO" w:eastAsia="es-BO"/>
        </w:rPr>
        <w:drawing>
          <wp:anchor distT="0" distB="0" distL="114300" distR="114300" simplePos="0" relativeHeight="251680768" behindDoc="0" locked="0" layoutInCell="1" allowOverlap="1" wp14:anchorId="76524B93" wp14:editId="4E2A31A0">
            <wp:simplePos x="0" y="0"/>
            <wp:positionH relativeFrom="margin">
              <wp:posOffset>3242945</wp:posOffset>
            </wp:positionH>
            <wp:positionV relativeFrom="paragraph">
              <wp:posOffset>594995</wp:posOffset>
            </wp:positionV>
            <wp:extent cx="2847975" cy="1724025"/>
            <wp:effectExtent l="0" t="0" r="9525" b="9525"/>
            <wp:wrapSquare wrapText="bothSides"/>
            <wp:docPr id="293" name="Gráfico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bookmarkEnd w:id="18"/>
      <w:bookmarkEnd w:id="19"/>
      <w:r w:rsidR="00654F89">
        <w:rPr>
          <w:rFonts w:cs="Times New Roman"/>
          <w:b/>
          <w:sz w:val="22"/>
        </w:rPr>
        <w:t>Figura</w:t>
      </w:r>
      <w:r w:rsidR="00A44832">
        <w:rPr>
          <w:rFonts w:cs="Times New Roman"/>
          <w:b/>
          <w:i/>
          <w:sz w:val="22"/>
        </w:rPr>
        <w:t xml:space="preserve"> </w:t>
      </w:r>
      <w:r w:rsidR="00A44832" w:rsidRPr="00A07782">
        <w:rPr>
          <w:rFonts w:cs="Times New Roman"/>
          <w:b/>
          <w:sz w:val="22"/>
        </w:rPr>
        <w:t>2</w:t>
      </w:r>
      <w:r w:rsidR="00654F89">
        <w:rPr>
          <w:rFonts w:cs="Times New Roman"/>
          <w:b/>
          <w:sz w:val="22"/>
        </w:rPr>
        <w:t>.</w:t>
      </w:r>
      <w:r w:rsidR="00A44832" w:rsidRPr="00A07782">
        <w:rPr>
          <w:rFonts w:cs="Times New Roman"/>
          <w:sz w:val="22"/>
        </w:rPr>
        <w:t xml:space="preserve"> </w:t>
      </w:r>
      <w:r w:rsidR="00A44832" w:rsidRPr="008419FA">
        <w:rPr>
          <w:rFonts w:cs="Times New Roman"/>
          <w:sz w:val="22"/>
        </w:rPr>
        <w:t xml:space="preserve">   Efect</w:t>
      </w:r>
      <w:r w:rsidR="00A44832">
        <w:rPr>
          <w:rFonts w:cs="Times New Roman"/>
          <w:sz w:val="22"/>
        </w:rPr>
        <w:t xml:space="preserve">o de la inoculación de </w:t>
      </w:r>
      <w:r w:rsidR="00A44832" w:rsidRPr="00A44832">
        <w:rPr>
          <w:rFonts w:cs="Times New Roman"/>
          <w:i/>
          <w:sz w:val="22"/>
        </w:rPr>
        <w:t xml:space="preserve">Bacillus </w:t>
      </w:r>
      <w:r w:rsidR="00A44832">
        <w:rPr>
          <w:rFonts w:cs="Times New Roman"/>
          <w:sz w:val="22"/>
        </w:rPr>
        <w:t>spp. y la aplicación de roca f</w:t>
      </w:r>
      <w:r w:rsidR="00A44832" w:rsidRPr="008419FA">
        <w:rPr>
          <w:rFonts w:cs="Times New Roman"/>
          <w:sz w:val="22"/>
        </w:rPr>
        <w:t>os</w:t>
      </w:r>
      <w:r w:rsidR="00BD7E66">
        <w:rPr>
          <w:rFonts w:cs="Times New Roman"/>
          <w:sz w:val="22"/>
        </w:rPr>
        <w:t>f</w:t>
      </w:r>
      <w:r w:rsidR="00231DD9">
        <w:rPr>
          <w:rFonts w:cs="Times New Roman"/>
          <w:sz w:val="22"/>
        </w:rPr>
        <w:t>órica sobre la altura de planta</w:t>
      </w:r>
    </w:p>
    <w:p w:rsidR="00BD7E66" w:rsidRPr="00BD7E66" w:rsidRDefault="00BD7E66" w:rsidP="00BD7E66">
      <w:pPr>
        <w:spacing w:after="0" w:line="240" w:lineRule="auto"/>
        <w:jc w:val="both"/>
        <w:rPr>
          <w:rFonts w:cs="Times New Roman"/>
          <w:b/>
          <w:i/>
          <w:noProof/>
          <w:sz w:val="20"/>
          <w:szCs w:val="20"/>
          <w:lang w:val="es-BO" w:eastAsia="es-BO"/>
        </w:rPr>
      </w:pPr>
    </w:p>
    <w:p w:rsidR="00B3562F" w:rsidRPr="00C71572" w:rsidRDefault="00654F89" w:rsidP="00C71572">
      <w:pPr>
        <w:pStyle w:val="Descripcin"/>
        <w:rPr>
          <w:rFonts w:cs="Times New Roman"/>
          <w:i w:val="0"/>
          <w:color w:val="auto"/>
          <w:sz w:val="20"/>
          <w:szCs w:val="20"/>
        </w:rPr>
      </w:pPr>
      <w:bookmarkStart w:id="20" w:name="_Toc103538203"/>
      <w:bookmarkStart w:id="21" w:name="_Toc103543018"/>
      <w:bookmarkStart w:id="22" w:name="_Toc105619721"/>
      <w:r w:rsidRPr="00BD7E66">
        <w:rPr>
          <w:noProof/>
          <w:sz w:val="20"/>
          <w:szCs w:val="20"/>
          <w:lang w:val="es-BO" w:eastAsia="es-BO"/>
        </w:rPr>
        <w:drawing>
          <wp:anchor distT="0" distB="0" distL="114300" distR="114300" simplePos="0" relativeHeight="251666432" behindDoc="0" locked="0" layoutInCell="1" allowOverlap="1" wp14:anchorId="2E3FD3CA" wp14:editId="61ACB716">
            <wp:simplePos x="0" y="0"/>
            <wp:positionH relativeFrom="column">
              <wp:posOffset>-635</wp:posOffset>
            </wp:positionH>
            <wp:positionV relativeFrom="paragraph">
              <wp:posOffset>383540</wp:posOffset>
            </wp:positionV>
            <wp:extent cx="2680970" cy="1731645"/>
            <wp:effectExtent l="0" t="0" r="5080" b="1905"/>
            <wp:wrapSquare wrapText="bothSides"/>
            <wp:docPr id="230" name="Gráfico 23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rFonts w:cs="Times New Roman"/>
          <w:b/>
          <w:i w:val="0"/>
          <w:color w:val="auto"/>
          <w:sz w:val="20"/>
          <w:szCs w:val="20"/>
        </w:rPr>
        <w:t>Figura</w:t>
      </w:r>
      <w:r w:rsidR="00A07782" w:rsidRPr="00BD7E66">
        <w:rPr>
          <w:rFonts w:cs="Times New Roman"/>
          <w:b/>
          <w:i w:val="0"/>
          <w:color w:val="auto"/>
          <w:sz w:val="20"/>
          <w:szCs w:val="20"/>
        </w:rPr>
        <w:t xml:space="preserve"> 3</w:t>
      </w:r>
      <w:r>
        <w:rPr>
          <w:rFonts w:cs="Times New Roman"/>
          <w:b/>
          <w:i w:val="0"/>
          <w:color w:val="auto"/>
          <w:sz w:val="20"/>
          <w:szCs w:val="20"/>
        </w:rPr>
        <w:t>.</w:t>
      </w:r>
      <w:r w:rsidR="005B2020" w:rsidRPr="00BD7E66">
        <w:rPr>
          <w:rFonts w:cs="Times New Roman"/>
          <w:i w:val="0"/>
          <w:color w:val="auto"/>
          <w:sz w:val="20"/>
          <w:szCs w:val="20"/>
        </w:rPr>
        <w:t xml:space="preserve">    Efecto de la aplicación de roca fosfórica sobre la altura de planta.</w:t>
      </w:r>
      <w:bookmarkEnd w:id="20"/>
      <w:bookmarkEnd w:id="21"/>
      <w:bookmarkEnd w:id="22"/>
    </w:p>
    <w:p w:rsidR="004C029E" w:rsidRDefault="004C029E" w:rsidP="00B3562F">
      <w:pPr>
        <w:spacing w:after="0" w:line="360" w:lineRule="auto"/>
        <w:jc w:val="both"/>
        <w:rPr>
          <w:rFonts w:cs="Times New Roman"/>
          <w:b/>
          <w:sz w:val="22"/>
          <w:lang w:eastAsia="es-ES"/>
        </w:rPr>
      </w:pPr>
    </w:p>
    <w:p w:rsidR="00B3562F" w:rsidRPr="005E79E6" w:rsidRDefault="005B2020" w:rsidP="00B3562F">
      <w:pPr>
        <w:spacing w:after="0" w:line="360" w:lineRule="auto"/>
        <w:jc w:val="both"/>
        <w:rPr>
          <w:rFonts w:cs="Times New Roman"/>
          <w:b/>
          <w:sz w:val="22"/>
          <w:lang w:eastAsia="es-ES"/>
        </w:rPr>
      </w:pPr>
      <w:r w:rsidRPr="005E79E6">
        <w:rPr>
          <w:rFonts w:cs="Times New Roman"/>
          <w:b/>
          <w:sz w:val="22"/>
          <w:lang w:eastAsia="es-ES"/>
        </w:rPr>
        <w:lastRenderedPageBreak/>
        <w:t>Peso fresco del follaje</w:t>
      </w:r>
    </w:p>
    <w:p w:rsidR="00D14768" w:rsidRPr="00D14768" w:rsidRDefault="00D14768" w:rsidP="00654F89">
      <w:pPr>
        <w:spacing w:after="0" w:line="360" w:lineRule="auto"/>
        <w:jc w:val="both"/>
        <w:rPr>
          <w:rFonts w:cs="Times New Roman"/>
          <w:sz w:val="22"/>
          <w:lang w:eastAsia="es-ES"/>
        </w:rPr>
      </w:pPr>
      <w:r w:rsidRPr="00D14768">
        <w:rPr>
          <w:rFonts w:cs="Times New Roman"/>
          <w:sz w:val="22"/>
          <w:lang w:eastAsia="es-ES"/>
        </w:rPr>
        <w:t>El</w:t>
      </w:r>
      <w:r w:rsidR="00A07782">
        <w:rPr>
          <w:rFonts w:cs="Times New Roman"/>
          <w:sz w:val="22"/>
          <w:lang w:eastAsia="es-ES"/>
        </w:rPr>
        <w:t xml:space="preserve"> análisis de varianza</w:t>
      </w:r>
      <w:r w:rsidRPr="00D14768">
        <w:rPr>
          <w:rFonts w:cs="Times New Roman"/>
          <w:sz w:val="22"/>
          <w:lang w:eastAsia="es-ES"/>
        </w:rPr>
        <w:t>,</w:t>
      </w:r>
      <w:r w:rsidR="005E79E6">
        <w:rPr>
          <w:rFonts w:cs="Times New Roman"/>
          <w:sz w:val="22"/>
          <w:lang w:eastAsia="es-ES"/>
        </w:rPr>
        <w:t xml:space="preserve"> mostró</w:t>
      </w:r>
      <w:r w:rsidRPr="00D14768">
        <w:rPr>
          <w:rFonts w:cs="Times New Roman"/>
          <w:sz w:val="22"/>
          <w:lang w:eastAsia="es-ES"/>
        </w:rPr>
        <w:t xml:space="preserve"> diferencias significativas (Pr≤0.05) para los efectos fijos bacterias, roca fosfórica y la interacción de estos. </w:t>
      </w:r>
    </w:p>
    <w:p w:rsidR="00D14768" w:rsidRDefault="005E79E6" w:rsidP="00654F89">
      <w:pPr>
        <w:spacing w:after="0" w:line="360" w:lineRule="auto"/>
        <w:jc w:val="both"/>
        <w:rPr>
          <w:rFonts w:cs="Times New Roman"/>
          <w:sz w:val="22"/>
          <w:lang w:eastAsia="es-ES"/>
        </w:rPr>
      </w:pPr>
      <w:r>
        <w:rPr>
          <w:rFonts w:cs="Times New Roman"/>
          <w:sz w:val="22"/>
          <w:lang w:eastAsia="es-ES"/>
        </w:rPr>
        <w:t>L</w:t>
      </w:r>
      <w:r w:rsidR="00D14768" w:rsidRPr="00D14768">
        <w:rPr>
          <w:rFonts w:cs="Times New Roman"/>
          <w:sz w:val="22"/>
          <w:lang w:eastAsia="es-ES"/>
        </w:rPr>
        <w:t>a aplicación de BSF sin roca fosfórica (RF)</w:t>
      </w:r>
      <w:r w:rsidR="006B6ED5">
        <w:rPr>
          <w:rFonts w:cs="Times New Roman"/>
          <w:sz w:val="22"/>
          <w:lang w:eastAsia="es-ES"/>
        </w:rPr>
        <w:t xml:space="preserve"> (Figura 4</w:t>
      </w:r>
      <w:r w:rsidR="00D14768" w:rsidRPr="00D14768">
        <w:rPr>
          <w:rFonts w:cs="Times New Roman"/>
          <w:sz w:val="22"/>
          <w:lang w:eastAsia="es-ES"/>
        </w:rPr>
        <w:t xml:space="preserve">), generó variación en el peso fresco de follaje en relación al testigo absoluto (T0)  que junto con T9 (FB4) y T27 (FB13) registraron los pesos más bajos de 5 gr. Por otra parte la cepa FB12 </w:t>
      </w:r>
      <w:r w:rsidR="00754385">
        <w:rPr>
          <w:rFonts w:cs="Times New Roman"/>
          <w:sz w:val="22"/>
          <w:lang w:eastAsia="es-ES"/>
        </w:rPr>
        <w:t xml:space="preserve"> y el testigo comercial mostraron ser los</w:t>
      </w:r>
      <w:r w:rsidR="00D14768" w:rsidRPr="00D14768">
        <w:rPr>
          <w:rFonts w:cs="Times New Roman"/>
          <w:sz w:val="22"/>
          <w:lang w:eastAsia="es-ES"/>
        </w:rPr>
        <w:t xml:space="preserve"> más eficiente</w:t>
      </w:r>
      <w:r w:rsidR="00754385">
        <w:rPr>
          <w:rFonts w:cs="Times New Roman"/>
          <w:sz w:val="22"/>
          <w:lang w:eastAsia="es-ES"/>
        </w:rPr>
        <w:t>s</w:t>
      </w:r>
      <w:r w:rsidR="00D14768" w:rsidRPr="00D14768">
        <w:rPr>
          <w:rFonts w:cs="Times New Roman"/>
          <w:sz w:val="22"/>
          <w:lang w:eastAsia="es-ES"/>
        </w:rPr>
        <w:t xml:space="preserve"> en la promoción de desarrollo de follaje, en relación a las demás cepas evaluadas.</w:t>
      </w:r>
    </w:p>
    <w:p w:rsidR="00754385" w:rsidRPr="00D14768" w:rsidRDefault="00754385" w:rsidP="005E79E6">
      <w:pPr>
        <w:spacing w:after="0" w:line="276" w:lineRule="auto"/>
        <w:jc w:val="both"/>
        <w:rPr>
          <w:rFonts w:cs="Times New Roman"/>
          <w:sz w:val="22"/>
          <w:lang w:eastAsia="es-ES"/>
        </w:rPr>
      </w:pPr>
    </w:p>
    <w:p w:rsidR="00016BBF" w:rsidRDefault="00C741B5" w:rsidP="00A45FA8">
      <w:pPr>
        <w:spacing w:after="0" w:line="240" w:lineRule="auto"/>
        <w:jc w:val="both"/>
        <w:rPr>
          <w:rFonts w:cs="Times New Roman"/>
          <w:sz w:val="22"/>
        </w:rPr>
      </w:pPr>
      <w:bookmarkStart w:id="23" w:name="_Toc100956045"/>
      <w:bookmarkStart w:id="24" w:name="_Toc103031216"/>
      <w:bookmarkStart w:id="25" w:name="_Toc103032060"/>
      <w:r w:rsidRPr="00F74269">
        <w:rPr>
          <w:rFonts w:cs="Times New Roman"/>
          <w:b/>
          <w:i/>
          <w:noProof/>
          <w:szCs w:val="24"/>
          <w:lang w:val="es-BO" w:eastAsia="es-BO"/>
        </w:rPr>
        <w:drawing>
          <wp:anchor distT="0" distB="0" distL="114300" distR="114300" simplePos="0" relativeHeight="251682816" behindDoc="0" locked="0" layoutInCell="1" allowOverlap="1" wp14:anchorId="269A98FE" wp14:editId="13EC0EC9">
            <wp:simplePos x="0" y="0"/>
            <wp:positionH relativeFrom="margin">
              <wp:align>left</wp:align>
            </wp:positionH>
            <wp:positionV relativeFrom="paragraph">
              <wp:posOffset>413385</wp:posOffset>
            </wp:positionV>
            <wp:extent cx="2838450" cy="1823085"/>
            <wp:effectExtent l="0" t="0" r="0" b="5715"/>
            <wp:wrapSquare wrapText="bothSides"/>
            <wp:docPr id="207" name="Gráfico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bookmarkEnd w:id="23"/>
      <w:bookmarkEnd w:id="24"/>
      <w:bookmarkEnd w:id="25"/>
      <w:r w:rsidR="00D14768" w:rsidRPr="00D14768">
        <w:rPr>
          <w:rFonts w:cs="Times New Roman"/>
          <w:b/>
          <w:sz w:val="22"/>
        </w:rPr>
        <w:t>Figura.</w:t>
      </w:r>
      <w:r w:rsidR="006B6ED5">
        <w:rPr>
          <w:rFonts w:cs="Times New Roman"/>
          <w:b/>
          <w:sz w:val="22"/>
        </w:rPr>
        <w:t xml:space="preserve"> 4</w:t>
      </w:r>
      <w:r w:rsidR="00D14768" w:rsidRPr="00D14768">
        <w:rPr>
          <w:rFonts w:cs="Times New Roman"/>
          <w:sz w:val="22"/>
        </w:rPr>
        <w:t xml:space="preserve">    Efecto de la inoculación de aislados bacterianos sobre el peso fresco de follaje</w:t>
      </w:r>
    </w:p>
    <w:p w:rsidR="00BD7E66" w:rsidRPr="00B3562F" w:rsidRDefault="00BD7E66" w:rsidP="00A45FA8">
      <w:pPr>
        <w:spacing w:after="0" w:line="240" w:lineRule="auto"/>
        <w:jc w:val="both"/>
        <w:rPr>
          <w:rFonts w:cs="Times New Roman"/>
          <w:szCs w:val="24"/>
          <w:lang w:eastAsia="es-ES"/>
        </w:rPr>
      </w:pPr>
    </w:p>
    <w:p w:rsidR="00D14768" w:rsidRDefault="00D14768" w:rsidP="00654F89">
      <w:pPr>
        <w:spacing w:after="0" w:line="360" w:lineRule="auto"/>
        <w:jc w:val="both"/>
        <w:rPr>
          <w:rFonts w:cs="Times New Roman"/>
          <w:sz w:val="22"/>
          <w:lang w:eastAsia="es-ES"/>
        </w:rPr>
      </w:pPr>
      <w:r w:rsidRPr="000E69E4">
        <w:rPr>
          <w:rFonts w:cs="Times New Roman"/>
          <w:sz w:val="22"/>
          <w:lang w:eastAsia="es-ES"/>
        </w:rPr>
        <w:t>En los tratamientos donde se aplicó roca fosfórica</w:t>
      </w:r>
      <w:r w:rsidR="006B6ED5">
        <w:rPr>
          <w:rFonts w:cs="Times New Roman"/>
          <w:sz w:val="22"/>
          <w:lang w:eastAsia="es-ES"/>
        </w:rPr>
        <w:t xml:space="preserve"> (Figura 5</w:t>
      </w:r>
      <w:r w:rsidRPr="000E69E4">
        <w:rPr>
          <w:rFonts w:cs="Times New Roman"/>
          <w:sz w:val="22"/>
          <w:lang w:eastAsia="es-ES"/>
        </w:rPr>
        <w:t>) se aprecia que el testigo absoluto T0 y T4 (FB2), obtuvieron los pesos más bajos (5.3 y 5.7 gr). Las cepas FB12, FB10 y FB6 mostraron los mejores pesos de follaje con 15, 14.7 y 12 gr, respectiva</w:t>
      </w:r>
      <w:r w:rsidR="00754385">
        <w:rPr>
          <w:rFonts w:cs="Times New Roman"/>
          <w:sz w:val="22"/>
          <w:lang w:eastAsia="es-ES"/>
        </w:rPr>
        <w:t xml:space="preserve">mente, superando </w:t>
      </w:r>
      <w:r w:rsidRPr="000E69E4">
        <w:rPr>
          <w:rFonts w:cs="Times New Roman"/>
          <w:sz w:val="22"/>
          <w:lang w:eastAsia="es-ES"/>
        </w:rPr>
        <w:t xml:space="preserve">al testigo comercial (T32) en un 30% y 50%, respecto al testigo absoluto. Estas a su vez dieron positivo a la prueba de solubilización de fosfatos, lo cual indica que esta propiedad podría haberles dado ventaja en la asimilación de dicho nutriente,  dado </w:t>
      </w:r>
      <w:r w:rsidRPr="000E69E4">
        <w:rPr>
          <w:rFonts w:cs="Times New Roman"/>
          <w:sz w:val="22"/>
          <w:lang w:eastAsia="es-ES"/>
        </w:rPr>
        <w:lastRenderedPageBreak/>
        <w:t xml:space="preserve">que el tratamiento donde se aplicó solo roca fosfórica T1 (5.33 gr) presentó resultados similares al Testigo absoluto (5 gr), lo cual estaría relacionado con la lenta liberación de P de la RF. </w:t>
      </w:r>
      <w:r w:rsidRPr="000E69E4">
        <w:rPr>
          <w:rFonts w:cs="Times New Roman"/>
          <w:sz w:val="22"/>
        </w:rPr>
        <w:t>La dificultad de la RF para ser usada como fertilizante fosfatado radica en su baja solubilidad y, por consiguiente, en la lenta liberación de P disponible para la planta</w:t>
      </w:r>
      <w:r w:rsidRPr="000E69E4">
        <w:rPr>
          <w:rFonts w:cs="Times New Roman"/>
          <w:color w:val="000000"/>
          <w:sz w:val="22"/>
          <w:shd w:val="clear" w:color="auto" w:fill="FFFFFF"/>
        </w:rPr>
        <w:t xml:space="preserve"> (Menon y Chien, 1995).</w:t>
      </w:r>
      <w:r w:rsidRPr="000E69E4">
        <w:rPr>
          <w:rFonts w:cs="Times New Roman"/>
          <w:sz w:val="22"/>
          <w:lang w:eastAsia="es-ES"/>
        </w:rPr>
        <w:t xml:space="preserve"> </w:t>
      </w:r>
    </w:p>
    <w:p w:rsidR="006B6ED5" w:rsidRDefault="006B6ED5" w:rsidP="000E69E4">
      <w:pPr>
        <w:spacing w:after="0" w:line="240" w:lineRule="auto"/>
        <w:ind w:firstLine="720"/>
        <w:jc w:val="both"/>
        <w:rPr>
          <w:rFonts w:cs="Times New Roman"/>
          <w:sz w:val="22"/>
          <w:lang w:eastAsia="es-ES"/>
        </w:rPr>
      </w:pPr>
    </w:p>
    <w:p w:rsidR="00D14768" w:rsidRPr="00BD7E66" w:rsidRDefault="00C741B5" w:rsidP="00A45FA8">
      <w:pPr>
        <w:spacing w:after="0" w:line="240" w:lineRule="auto"/>
        <w:jc w:val="both"/>
        <w:rPr>
          <w:rFonts w:cs="Times New Roman"/>
          <w:sz w:val="20"/>
          <w:szCs w:val="20"/>
        </w:rPr>
      </w:pPr>
      <w:bookmarkStart w:id="26" w:name="_Toc100956046"/>
      <w:bookmarkStart w:id="27" w:name="_Toc103031217"/>
      <w:bookmarkStart w:id="28" w:name="_Toc103032061"/>
      <w:r w:rsidRPr="00F74269">
        <w:rPr>
          <w:rFonts w:cs="Times New Roman"/>
          <w:b/>
          <w:i/>
          <w:noProof/>
          <w:szCs w:val="24"/>
          <w:lang w:val="es-BO" w:eastAsia="es-BO"/>
        </w:rPr>
        <w:drawing>
          <wp:anchor distT="0" distB="0" distL="114300" distR="114300" simplePos="0" relativeHeight="251684864" behindDoc="0" locked="0" layoutInCell="1" allowOverlap="1" wp14:anchorId="77F08370" wp14:editId="60EF692E">
            <wp:simplePos x="0" y="0"/>
            <wp:positionH relativeFrom="margin">
              <wp:align>right</wp:align>
            </wp:positionH>
            <wp:positionV relativeFrom="paragraph">
              <wp:posOffset>553720</wp:posOffset>
            </wp:positionV>
            <wp:extent cx="2752725" cy="1609725"/>
            <wp:effectExtent l="0" t="0" r="9525" b="9525"/>
            <wp:wrapSquare wrapText="bothSides"/>
            <wp:docPr id="206" name="Gráfico 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bookmarkEnd w:id="26"/>
      <w:bookmarkEnd w:id="27"/>
      <w:bookmarkEnd w:id="28"/>
      <w:r w:rsidR="00654F89" w:rsidRPr="00C71572">
        <w:rPr>
          <w:rFonts w:cs="Times New Roman"/>
          <w:b/>
          <w:sz w:val="22"/>
        </w:rPr>
        <w:t>Figura</w:t>
      </w:r>
      <w:r w:rsidR="006B6ED5" w:rsidRPr="00C71572">
        <w:rPr>
          <w:rFonts w:cs="Times New Roman"/>
          <w:b/>
          <w:sz w:val="22"/>
        </w:rPr>
        <w:t xml:space="preserve"> 5</w:t>
      </w:r>
      <w:r w:rsidR="00654F89" w:rsidRPr="00C71572">
        <w:rPr>
          <w:rFonts w:cs="Times New Roman"/>
          <w:b/>
          <w:sz w:val="22"/>
        </w:rPr>
        <w:t>.</w:t>
      </w:r>
      <w:r w:rsidR="000E69E4" w:rsidRPr="00C71572">
        <w:rPr>
          <w:rFonts w:cs="Times New Roman"/>
          <w:sz w:val="22"/>
        </w:rPr>
        <w:t xml:space="preserve">    Efecto de la inoculación de aislados bacterianos y la aplicación de roca fosfórica sobre el peso fresco de follaje</w:t>
      </w:r>
      <w:r w:rsidR="000E69E4" w:rsidRPr="00BD7E66">
        <w:rPr>
          <w:rFonts w:cs="Times New Roman"/>
          <w:sz w:val="20"/>
          <w:szCs w:val="20"/>
        </w:rPr>
        <w:t>.</w:t>
      </w:r>
    </w:p>
    <w:p w:rsidR="006B6ED5" w:rsidRDefault="006B6ED5" w:rsidP="000E69E4">
      <w:pPr>
        <w:spacing w:after="0" w:line="276" w:lineRule="auto"/>
        <w:ind w:firstLine="720"/>
        <w:jc w:val="both"/>
        <w:rPr>
          <w:rFonts w:cs="Times New Roman"/>
          <w:sz w:val="22"/>
        </w:rPr>
      </w:pPr>
    </w:p>
    <w:p w:rsidR="007E0DEB" w:rsidRPr="000E69E4" w:rsidRDefault="007E0DEB" w:rsidP="007E0DEB">
      <w:pPr>
        <w:spacing w:after="0" w:line="360" w:lineRule="auto"/>
        <w:jc w:val="both"/>
        <w:rPr>
          <w:rFonts w:cs="Times New Roman"/>
          <w:sz w:val="22"/>
          <w:lang w:eastAsia="es-ES"/>
        </w:rPr>
      </w:pPr>
      <w:r>
        <w:rPr>
          <w:rFonts w:cs="Times New Roman"/>
          <w:sz w:val="22"/>
        </w:rPr>
        <w:t>La figura (6</w:t>
      </w:r>
      <w:r w:rsidRPr="000E69E4">
        <w:rPr>
          <w:rFonts w:cs="Times New Roman"/>
          <w:sz w:val="22"/>
        </w:rPr>
        <w:t>) muestra el efecto de la aplicación de RF en el desarrollo de biomasa donde se observ</w:t>
      </w:r>
      <w:r>
        <w:rPr>
          <w:rFonts w:cs="Times New Roman"/>
          <w:sz w:val="22"/>
        </w:rPr>
        <w:t>a una diferencia significativa  cuando</w:t>
      </w:r>
      <w:r w:rsidRPr="000E69E4">
        <w:rPr>
          <w:rFonts w:cs="Times New Roman"/>
          <w:sz w:val="22"/>
        </w:rPr>
        <w:t xml:space="preserve"> se aplica este fertilizante.</w:t>
      </w:r>
    </w:p>
    <w:p w:rsidR="00231DD9" w:rsidRPr="00C71572" w:rsidRDefault="007E0DEB" w:rsidP="007E0DEB">
      <w:pPr>
        <w:spacing w:after="0" w:line="360" w:lineRule="auto"/>
        <w:ind w:firstLine="720"/>
        <w:jc w:val="both"/>
        <w:rPr>
          <w:rFonts w:cs="Times New Roman"/>
          <w:sz w:val="22"/>
        </w:rPr>
      </w:pPr>
      <w:r w:rsidRPr="000E69E4">
        <w:rPr>
          <w:rFonts w:cs="Times New Roman"/>
          <w:sz w:val="22"/>
        </w:rPr>
        <w:t>Este efecto positivo de la aplicación de roca fosfórica (RF) y BSF se puede explicar considerando que mientras la RF aporta principalmente fósforo, las BSF pueden tener efectos adicionales en la solubilizació</w:t>
      </w:r>
      <w:r>
        <w:rPr>
          <w:rFonts w:cs="Times New Roman"/>
          <w:sz w:val="22"/>
        </w:rPr>
        <w:t>n de este nutriente, como ser</w:t>
      </w:r>
      <w:r w:rsidRPr="000E69E4">
        <w:rPr>
          <w:rFonts w:cs="Times New Roman"/>
          <w:sz w:val="22"/>
        </w:rPr>
        <w:t>, en la fijación de N, el biocontrol de patógenos y la producción de sustancias fitoreguladoras (Ar</w:t>
      </w:r>
      <w:r>
        <w:rPr>
          <w:rFonts w:cs="Times New Roman"/>
          <w:sz w:val="22"/>
        </w:rPr>
        <w:t xml:space="preserve">chand y Schneider, 2006). </w:t>
      </w:r>
      <w:r w:rsidRPr="000E69E4">
        <w:rPr>
          <w:rFonts w:cs="Times New Roman"/>
          <w:sz w:val="22"/>
        </w:rPr>
        <w:t>Estos</w:t>
      </w:r>
      <w:r>
        <w:rPr>
          <w:rFonts w:cs="Times New Roman"/>
          <w:sz w:val="22"/>
        </w:rPr>
        <w:t xml:space="preserve"> resultados </w:t>
      </w:r>
      <w:r w:rsidRPr="000E69E4">
        <w:rPr>
          <w:rFonts w:cs="Times New Roman"/>
          <w:sz w:val="22"/>
        </w:rPr>
        <w:t>guardan relación con el estudio de Main y Franco (2011),</w:t>
      </w:r>
      <w:r>
        <w:rPr>
          <w:rFonts w:cs="Times New Roman"/>
          <w:sz w:val="22"/>
        </w:rPr>
        <w:t xml:space="preserve"> donde probaron el efecto de la fertilización fosfórica en combinación</w:t>
      </w:r>
      <w:r w:rsidR="000E69E4" w:rsidRPr="000E69E4">
        <w:rPr>
          <w:rFonts w:cs="Times New Roman"/>
          <w:sz w:val="22"/>
        </w:rPr>
        <w:t xml:space="preserve"> de </w:t>
      </w:r>
      <w:r w:rsidR="000E69E4" w:rsidRPr="000E69E4">
        <w:rPr>
          <w:rFonts w:cs="Times New Roman"/>
          <w:i/>
          <w:sz w:val="22"/>
        </w:rPr>
        <w:t>Bacillus</w:t>
      </w:r>
      <w:r w:rsidR="000E69E4" w:rsidRPr="000E69E4">
        <w:rPr>
          <w:rFonts w:cs="Times New Roman"/>
          <w:sz w:val="22"/>
        </w:rPr>
        <w:t xml:space="preserve"> </w:t>
      </w:r>
      <w:r w:rsidR="000E69E4" w:rsidRPr="000E69E4">
        <w:rPr>
          <w:rFonts w:cs="Times New Roman"/>
          <w:i/>
          <w:sz w:val="22"/>
        </w:rPr>
        <w:t>subtilis</w:t>
      </w:r>
      <w:r w:rsidR="000E69E4" w:rsidRPr="000E69E4">
        <w:rPr>
          <w:rFonts w:cs="Times New Roman"/>
          <w:sz w:val="22"/>
        </w:rPr>
        <w:t xml:space="preserve"> y micorrizas </w:t>
      </w:r>
      <w:r w:rsidR="000E69E4" w:rsidRPr="000E69E4">
        <w:rPr>
          <w:rFonts w:cs="Times New Roman"/>
          <w:sz w:val="22"/>
        </w:rPr>
        <w:lastRenderedPageBreak/>
        <w:t xml:space="preserve">arbusculares, </w:t>
      </w:r>
      <w:r w:rsidR="006B6ED5">
        <w:rPr>
          <w:rFonts w:cs="Times New Roman"/>
          <w:sz w:val="22"/>
        </w:rPr>
        <w:t>donde</w:t>
      </w:r>
      <w:r w:rsidR="000E69E4" w:rsidRPr="000E69E4">
        <w:rPr>
          <w:rFonts w:cs="Times New Roman"/>
          <w:sz w:val="22"/>
        </w:rPr>
        <w:t xml:space="preserve"> la inoculación de </w:t>
      </w:r>
      <w:r w:rsidR="000E69E4" w:rsidRPr="000E69E4">
        <w:rPr>
          <w:rFonts w:cs="Times New Roman"/>
          <w:i/>
          <w:sz w:val="22"/>
        </w:rPr>
        <w:t>Bacillus</w:t>
      </w:r>
      <w:r w:rsidR="000E69E4" w:rsidRPr="000E69E4">
        <w:rPr>
          <w:rFonts w:cs="Times New Roman"/>
          <w:sz w:val="22"/>
        </w:rPr>
        <w:t xml:space="preserve"> permitió obtener mejores resultados en las variables agronómicas con menores niv</w:t>
      </w:r>
      <w:bookmarkStart w:id="29" w:name="_Toc103543021"/>
      <w:bookmarkStart w:id="30" w:name="_Toc105619724"/>
      <w:r w:rsidR="00FD28B7">
        <w:rPr>
          <w:rFonts w:cs="Times New Roman"/>
          <w:sz w:val="22"/>
        </w:rPr>
        <w:t>eles de fertilización fosfórica.</w:t>
      </w:r>
    </w:p>
    <w:p w:rsidR="000E69E4" w:rsidRPr="000E69E4" w:rsidRDefault="00654F89" w:rsidP="000E69E4">
      <w:pPr>
        <w:pStyle w:val="Descripcin"/>
        <w:rPr>
          <w:rFonts w:cs="Times New Roman"/>
          <w:i w:val="0"/>
          <w:color w:val="auto"/>
          <w:sz w:val="22"/>
          <w:szCs w:val="22"/>
        </w:rPr>
      </w:pPr>
      <w:r>
        <w:rPr>
          <w:rFonts w:cs="Times New Roman"/>
          <w:b/>
          <w:i w:val="0"/>
          <w:color w:val="auto"/>
          <w:sz w:val="22"/>
          <w:szCs w:val="22"/>
        </w:rPr>
        <w:t>Figura</w:t>
      </w:r>
      <w:r w:rsidR="006B6ED5">
        <w:rPr>
          <w:rFonts w:cs="Times New Roman"/>
          <w:b/>
          <w:i w:val="0"/>
          <w:color w:val="auto"/>
          <w:sz w:val="22"/>
          <w:szCs w:val="22"/>
        </w:rPr>
        <w:t xml:space="preserve"> 6</w:t>
      </w:r>
      <w:r>
        <w:rPr>
          <w:rFonts w:cs="Times New Roman"/>
          <w:b/>
          <w:i w:val="0"/>
          <w:color w:val="auto"/>
          <w:sz w:val="22"/>
          <w:szCs w:val="22"/>
        </w:rPr>
        <w:t>.</w:t>
      </w:r>
      <w:r w:rsidR="000E69E4" w:rsidRPr="008358E6">
        <w:rPr>
          <w:rFonts w:cs="Times New Roman"/>
          <w:i w:val="0"/>
          <w:color w:val="auto"/>
          <w:sz w:val="22"/>
          <w:szCs w:val="22"/>
        </w:rPr>
        <w:t xml:space="preserve">   Efecto de la aplicación de roca fosfórica sobre el peso fresco de follaje.</w:t>
      </w:r>
      <w:bookmarkEnd w:id="29"/>
      <w:bookmarkEnd w:id="30"/>
    </w:p>
    <w:p w:rsidR="000E69E4" w:rsidRDefault="000E69E4" w:rsidP="000E69E4">
      <w:pPr>
        <w:spacing w:after="0" w:line="276" w:lineRule="auto"/>
        <w:jc w:val="both"/>
        <w:rPr>
          <w:rFonts w:cs="Times New Roman"/>
          <w:b/>
          <w:sz w:val="22"/>
          <w:lang w:eastAsia="es-ES"/>
        </w:rPr>
      </w:pPr>
      <w:r>
        <w:rPr>
          <w:noProof/>
          <w:lang w:val="es-BO" w:eastAsia="es-BO"/>
        </w:rPr>
        <w:drawing>
          <wp:inline distT="0" distB="0" distL="0" distR="0" wp14:anchorId="4393756F" wp14:editId="0B0CECE8">
            <wp:extent cx="2664070" cy="1503485"/>
            <wp:effectExtent l="0" t="0" r="3175" b="1905"/>
            <wp:docPr id="256" name="Gráfico 25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69E4" w:rsidRDefault="000E69E4" w:rsidP="000E69E4">
      <w:pPr>
        <w:spacing w:after="0" w:line="276" w:lineRule="auto"/>
        <w:jc w:val="both"/>
        <w:rPr>
          <w:rFonts w:cs="Times New Roman"/>
          <w:b/>
          <w:sz w:val="22"/>
          <w:lang w:eastAsia="es-ES"/>
        </w:rPr>
      </w:pPr>
    </w:p>
    <w:p w:rsidR="000E69E4" w:rsidRDefault="000E69E4" w:rsidP="00654F89">
      <w:pPr>
        <w:spacing w:after="0" w:line="360" w:lineRule="auto"/>
        <w:jc w:val="both"/>
        <w:rPr>
          <w:rFonts w:cs="Times New Roman"/>
          <w:b/>
          <w:sz w:val="22"/>
          <w:lang w:eastAsia="es-ES"/>
        </w:rPr>
      </w:pPr>
      <w:r>
        <w:rPr>
          <w:rFonts w:cs="Times New Roman"/>
          <w:b/>
          <w:sz w:val="22"/>
          <w:lang w:eastAsia="es-ES"/>
        </w:rPr>
        <w:t xml:space="preserve">Peso seco de follaje </w:t>
      </w:r>
    </w:p>
    <w:p w:rsidR="00655755" w:rsidRDefault="000E69E4" w:rsidP="00654F89">
      <w:pPr>
        <w:spacing w:line="360" w:lineRule="auto"/>
        <w:jc w:val="both"/>
        <w:rPr>
          <w:rFonts w:cs="Times New Roman"/>
          <w:sz w:val="22"/>
          <w:lang w:eastAsia="es-ES"/>
        </w:rPr>
      </w:pPr>
      <w:r w:rsidRPr="00BD7B98">
        <w:rPr>
          <w:rFonts w:cs="Times New Roman"/>
          <w:sz w:val="22"/>
          <w:lang w:eastAsia="es-ES"/>
        </w:rPr>
        <w:t>El</w:t>
      </w:r>
      <w:r w:rsidR="006B6ED5">
        <w:rPr>
          <w:rFonts w:cs="Times New Roman"/>
          <w:sz w:val="22"/>
          <w:lang w:eastAsia="es-ES"/>
        </w:rPr>
        <w:t xml:space="preserve"> análisis de varianza</w:t>
      </w:r>
      <w:r w:rsidRPr="00BD7B98">
        <w:rPr>
          <w:rFonts w:cs="Times New Roman"/>
          <w:sz w:val="22"/>
          <w:lang w:eastAsia="es-ES"/>
        </w:rPr>
        <w:t xml:space="preserve"> muestra diferencias significativas para los efectos fijos bacterias y la interacción de estas con roca fosfórica, sin embargo  la aplicación de roca fosfórica sola no mostro diferenc</w:t>
      </w:r>
      <w:r w:rsidR="00655755">
        <w:rPr>
          <w:rFonts w:cs="Times New Roman"/>
          <w:sz w:val="22"/>
          <w:lang w:eastAsia="es-ES"/>
        </w:rPr>
        <w:t>ian en el peso seco de follaje.</w:t>
      </w:r>
    </w:p>
    <w:p w:rsidR="00057ED7" w:rsidRPr="00C71572" w:rsidRDefault="000E69E4" w:rsidP="00C71572">
      <w:pPr>
        <w:spacing w:line="360" w:lineRule="auto"/>
        <w:jc w:val="both"/>
        <w:rPr>
          <w:rFonts w:cs="Times New Roman"/>
          <w:sz w:val="22"/>
          <w:lang w:eastAsia="es-ES"/>
        </w:rPr>
      </w:pPr>
      <w:r w:rsidRPr="00BD7B98">
        <w:rPr>
          <w:rFonts w:cs="Times New Roman"/>
          <w:sz w:val="22"/>
          <w:lang w:eastAsia="es-ES"/>
        </w:rPr>
        <w:t xml:space="preserve">En el caso de peso seco de follaje se encontró resultados relacionados con aquellos obtenidos en </w:t>
      </w:r>
      <w:r w:rsidR="00662FA6">
        <w:rPr>
          <w:rFonts w:cs="Times New Roman"/>
          <w:sz w:val="22"/>
          <w:lang w:eastAsia="es-ES"/>
        </w:rPr>
        <w:t xml:space="preserve">evaluaciones en peso fresco, </w:t>
      </w:r>
      <w:r w:rsidRPr="00BD7B98">
        <w:rPr>
          <w:rFonts w:cs="Times New Roman"/>
          <w:sz w:val="22"/>
          <w:lang w:eastAsia="es-ES"/>
        </w:rPr>
        <w:t>sin la apl</w:t>
      </w:r>
      <w:r w:rsidR="00662FA6">
        <w:rPr>
          <w:rFonts w:cs="Times New Roman"/>
          <w:sz w:val="22"/>
          <w:lang w:eastAsia="es-ES"/>
        </w:rPr>
        <w:t xml:space="preserve">icación de roca fosfórica </w:t>
      </w:r>
      <w:r w:rsidRPr="00BD7B98">
        <w:rPr>
          <w:rFonts w:cs="Times New Roman"/>
          <w:sz w:val="22"/>
          <w:lang w:eastAsia="es-ES"/>
        </w:rPr>
        <w:t xml:space="preserve"> T25 (FB12) y e</w:t>
      </w:r>
      <w:r w:rsidR="006B6ED5">
        <w:rPr>
          <w:rFonts w:cs="Times New Roman"/>
          <w:sz w:val="22"/>
          <w:lang w:eastAsia="es-ES"/>
        </w:rPr>
        <w:t>l testigo comercial</w:t>
      </w:r>
      <w:r w:rsidR="00662FA6">
        <w:rPr>
          <w:rFonts w:cs="Times New Roman"/>
          <w:sz w:val="22"/>
          <w:lang w:eastAsia="es-ES"/>
        </w:rPr>
        <w:t xml:space="preserve"> mostraron mayores pesos</w:t>
      </w:r>
      <w:r w:rsidR="006B6ED5">
        <w:rPr>
          <w:rFonts w:cs="Times New Roman"/>
          <w:sz w:val="22"/>
          <w:lang w:eastAsia="es-ES"/>
        </w:rPr>
        <w:t xml:space="preserve"> </w:t>
      </w:r>
      <w:r w:rsidR="00662FA6">
        <w:rPr>
          <w:rFonts w:cs="Times New Roman"/>
          <w:sz w:val="22"/>
          <w:lang w:eastAsia="es-ES"/>
        </w:rPr>
        <w:t>(</w:t>
      </w:r>
      <w:r w:rsidR="006B6ED5">
        <w:rPr>
          <w:rFonts w:cs="Times New Roman"/>
          <w:sz w:val="22"/>
          <w:lang w:eastAsia="es-ES"/>
        </w:rPr>
        <w:t>figura 7</w:t>
      </w:r>
      <w:r w:rsidR="00662FA6">
        <w:rPr>
          <w:rFonts w:cs="Times New Roman"/>
          <w:sz w:val="22"/>
          <w:lang w:eastAsia="es-ES"/>
        </w:rPr>
        <w:t>)</w:t>
      </w:r>
      <w:r w:rsidRPr="00BD7B98">
        <w:rPr>
          <w:rFonts w:cs="Times New Roman"/>
          <w:sz w:val="22"/>
          <w:lang w:eastAsia="es-ES"/>
        </w:rPr>
        <w:t xml:space="preserve">. De igual manera se observa que los tratamientos que mostraron pesos más bajos fueron T27 (FB13) y T9 (FB4) los cuales registraron valores inferiores al testigo absoluto, lo cual podría deberse a las reacciones de los microorganismos y a las condiciones adversas de temperatura y fertilidad. </w:t>
      </w:r>
      <w:r w:rsidRPr="00BD7B98">
        <w:rPr>
          <w:rFonts w:cs="Times New Roman"/>
          <w:sz w:val="22"/>
          <w:shd w:val="clear" w:color="auto" w:fill="FFFFFF"/>
        </w:rPr>
        <w:t>Bhattach</w:t>
      </w:r>
      <w:r w:rsidR="00231DD9">
        <w:rPr>
          <w:rFonts w:cs="Times New Roman"/>
          <w:sz w:val="22"/>
          <w:shd w:val="clear" w:color="auto" w:fill="FFFFFF"/>
        </w:rPr>
        <w:t>aryya y Jha</w:t>
      </w:r>
      <w:r w:rsidRPr="00BD7B98">
        <w:rPr>
          <w:rFonts w:cs="Times New Roman"/>
          <w:sz w:val="22"/>
          <w:shd w:val="clear" w:color="auto" w:fill="FFFFFF"/>
        </w:rPr>
        <w:t xml:space="preserve"> </w:t>
      </w:r>
      <w:r w:rsidR="00231DD9">
        <w:rPr>
          <w:rFonts w:cs="Times New Roman"/>
          <w:sz w:val="22"/>
          <w:shd w:val="clear" w:color="auto" w:fill="FFFFFF"/>
        </w:rPr>
        <w:t>(</w:t>
      </w:r>
      <w:r w:rsidRPr="00BD7B98">
        <w:rPr>
          <w:rFonts w:cs="Times New Roman"/>
          <w:sz w:val="22"/>
          <w:shd w:val="clear" w:color="auto" w:fill="FFFFFF"/>
        </w:rPr>
        <w:t>2012</w:t>
      </w:r>
      <w:r w:rsidR="00231DD9">
        <w:rPr>
          <w:rFonts w:cs="Times New Roman"/>
          <w:sz w:val="22"/>
          <w:shd w:val="clear" w:color="auto" w:fill="FFFFFF"/>
        </w:rPr>
        <w:t>),</w:t>
      </w:r>
      <w:r w:rsidRPr="00BD7B98">
        <w:rPr>
          <w:rFonts w:cs="Times New Roman"/>
          <w:sz w:val="22"/>
          <w:shd w:val="clear" w:color="auto" w:fill="FFFFFF"/>
        </w:rPr>
        <w:t xml:space="preserve"> indican que algunas condiciones abióticas pueden afectar la eficiencia de estos microorganismos, por ejemplo la influencia de las temperaturas o los tipos de </w:t>
      </w:r>
      <w:r w:rsidRPr="00BD7B98">
        <w:rPr>
          <w:rFonts w:cs="Times New Roman"/>
          <w:sz w:val="22"/>
          <w:shd w:val="clear" w:color="auto" w:fill="FFFFFF"/>
        </w:rPr>
        <w:lastRenderedPageBreak/>
        <w:t>suelos y condiciones bióticas como las respuestas sinérgicas antagónicas.</w:t>
      </w:r>
    </w:p>
    <w:p w:rsidR="000E69E4" w:rsidRPr="00C71572" w:rsidRDefault="00C741B5" w:rsidP="004A4FD0">
      <w:pPr>
        <w:spacing w:after="0" w:line="240" w:lineRule="auto"/>
        <w:jc w:val="both"/>
        <w:rPr>
          <w:rFonts w:cs="Times New Roman"/>
          <w:sz w:val="22"/>
        </w:rPr>
      </w:pPr>
      <w:r w:rsidRPr="00D60647">
        <w:rPr>
          <w:rFonts w:cs="Times New Roman"/>
          <w:b/>
          <w:noProof/>
          <w:sz w:val="22"/>
          <w:lang w:val="es-BO" w:eastAsia="es-BO"/>
        </w:rPr>
        <w:drawing>
          <wp:anchor distT="0" distB="0" distL="114300" distR="114300" simplePos="0" relativeHeight="251686912" behindDoc="0" locked="0" layoutInCell="1" allowOverlap="1" wp14:anchorId="0925016C" wp14:editId="6BB454EA">
            <wp:simplePos x="0" y="0"/>
            <wp:positionH relativeFrom="margin">
              <wp:posOffset>3185795</wp:posOffset>
            </wp:positionH>
            <wp:positionV relativeFrom="paragraph">
              <wp:posOffset>392430</wp:posOffset>
            </wp:positionV>
            <wp:extent cx="2771775" cy="1685925"/>
            <wp:effectExtent l="0" t="0" r="9525" b="9525"/>
            <wp:wrapSquare wrapText="bothSides"/>
            <wp:docPr id="211" name="Gráfico 2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654F89" w:rsidRPr="00C71572">
        <w:rPr>
          <w:rFonts w:cs="Times New Roman"/>
          <w:b/>
          <w:sz w:val="22"/>
        </w:rPr>
        <w:t>Figura</w:t>
      </w:r>
      <w:r w:rsidR="006B6ED5" w:rsidRPr="00C71572">
        <w:rPr>
          <w:rFonts w:cs="Times New Roman"/>
          <w:b/>
          <w:sz w:val="22"/>
        </w:rPr>
        <w:t xml:space="preserve"> 7</w:t>
      </w:r>
      <w:r w:rsidR="00654F89" w:rsidRPr="00C71572">
        <w:rPr>
          <w:rFonts w:cs="Times New Roman"/>
          <w:b/>
          <w:sz w:val="22"/>
        </w:rPr>
        <w:t>.</w:t>
      </w:r>
      <w:r w:rsidR="000E69E4" w:rsidRPr="00C71572">
        <w:rPr>
          <w:rFonts w:cs="Times New Roman"/>
          <w:sz w:val="22"/>
        </w:rPr>
        <w:t xml:space="preserve">    Efecto de la inoculación de aislados </w:t>
      </w:r>
      <w:r w:rsidR="00AB306D">
        <w:rPr>
          <w:rFonts w:cs="Times New Roman"/>
          <w:sz w:val="22"/>
        </w:rPr>
        <w:t xml:space="preserve">    </w:t>
      </w:r>
      <w:r w:rsidR="000E69E4" w:rsidRPr="00C71572">
        <w:rPr>
          <w:rFonts w:cs="Times New Roman"/>
          <w:sz w:val="22"/>
        </w:rPr>
        <w:t>bacterianos sobre el peso seco de follaje</w:t>
      </w:r>
    </w:p>
    <w:p w:rsidR="000E69E4" w:rsidRDefault="000E69E4" w:rsidP="000E69E4">
      <w:pPr>
        <w:spacing w:after="0" w:line="276" w:lineRule="auto"/>
        <w:jc w:val="both"/>
        <w:rPr>
          <w:rFonts w:cs="Times New Roman"/>
          <w:b/>
          <w:sz w:val="22"/>
          <w:lang w:eastAsia="es-ES"/>
        </w:rPr>
      </w:pPr>
    </w:p>
    <w:p w:rsidR="00BD7B98" w:rsidRDefault="00BD7B98" w:rsidP="00654F89">
      <w:pPr>
        <w:spacing w:after="0" w:line="360" w:lineRule="auto"/>
        <w:jc w:val="both"/>
        <w:rPr>
          <w:rFonts w:cs="Times New Roman"/>
          <w:sz w:val="22"/>
          <w:lang w:eastAsia="es-ES"/>
        </w:rPr>
      </w:pPr>
      <w:r w:rsidRPr="00BD7B98">
        <w:rPr>
          <w:rFonts w:cs="Times New Roman"/>
          <w:sz w:val="22"/>
          <w:lang w:eastAsia="es-ES"/>
        </w:rPr>
        <w:t xml:space="preserve">En el caso de los tratamientos que si tenían roca fosfórica y cepas bacterianas destacaron significativamente T14 (FB7), T20 (FB10) y T24 (FB12), los cuales superaron al testigo absoluto y al testigo comercial (Figura </w:t>
      </w:r>
      <w:r w:rsidR="006B6ED5">
        <w:rPr>
          <w:rFonts w:cs="Times New Roman"/>
          <w:sz w:val="22"/>
          <w:lang w:eastAsia="es-ES"/>
        </w:rPr>
        <w:t>8</w:t>
      </w:r>
      <w:r w:rsidRPr="00BD7B98">
        <w:rPr>
          <w:rFonts w:cs="Times New Roman"/>
          <w:sz w:val="22"/>
          <w:lang w:eastAsia="es-ES"/>
        </w:rPr>
        <w:t xml:space="preserve">). </w:t>
      </w:r>
    </w:p>
    <w:p w:rsidR="006B6ED5" w:rsidRPr="00BD7B98" w:rsidRDefault="006B6ED5" w:rsidP="00BD7B98">
      <w:pPr>
        <w:spacing w:after="0" w:line="276" w:lineRule="auto"/>
        <w:jc w:val="both"/>
        <w:rPr>
          <w:rFonts w:cs="Times New Roman"/>
          <w:sz w:val="22"/>
          <w:lang w:eastAsia="es-ES"/>
        </w:rPr>
      </w:pPr>
    </w:p>
    <w:p w:rsidR="006B6ED5" w:rsidRDefault="00654F89" w:rsidP="00B36B22">
      <w:pPr>
        <w:pStyle w:val="Descripcin"/>
        <w:rPr>
          <w:rFonts w:cs="Times New Roman"/>
          <w:i w:val="0"/>
          <w:color w:val="auto"/>
          <w:sz w:val="20"/>
          <w:szCs w:val="20"/>
        </w:rPr>
      </w:pPr>
      <w:bookmarkStart w:id="31" w:name="_Toc103543023"/>
      <w:bookmarkStart w:id="32" w:name="_Toc105619726"/>
      <w:r>
        <w:rPr>
          <w:rFonts w:cs="Times New Roman"/>
          <w:b/>
          <w:i w:val="0"/>
          <w:color w:val="auto"/>
          <w:sz w:val="20"/>
          <w:szCs w:val="20"/>
        </w:rPr>
        <w:t xml:space="preserve">Figura </w:t>
      </w:r>
      <w:r w:rsidR="006B6ED5" w:rsidRPr="003724C2">
        <w:rPr>
          <w:rFonts w:cs="Times New Roman"/>
          <w:b/>
          <w:i w:val="0"/>
          <w:color w:val="auto"/>
          <w:sz w:val="20"/>
          <w:szCs w:val="20"/>
        </w:rPr>
        <w:t>8</w:t>
      </w:r>
      <w:r>
        <w:rPr>
          <w:rFonts w:cs="Times New Roman"/>
          <w:b/>
          <w:i w:val="0"/>
          <w:color w:val="auto"/>
          <w:sz w:val="20"/>
          <w:szCs w:val="20"/>
        </w:rPr>
        <w:t>.</w:t>
      </w:r>
      <w:r w:rsidR="00BD7B98" w:rsidRPr="003724C2">
        <w:rPr>
          <w:rFonts w:cs="Times New Roman"/>
          <w:i w:val="0"/>
          <w:color w:val="auto"/>
          <w:sz w:val="20"/>
          <w:szCs w:val="20"/>
        </w:rPr>
        <w:t xml:space="preserve">    Efecto de la inoculación de aislados bacterianos y la aplicación de roca fosfórica sobre el peso seco de follaje</w:t>
      </w:r>
      <w:bookmarkEnd w:id="31"/>
      <w:bookmarkEnd w:id="32"/>
    </w:p>
    <w:p w:rsidR="00B36B22" w:rsidRPr="00B36B22" w:rsidRDefault="00005E46" w:rsidP="00C741B5">
      <w:r>
        <w:rPr>
          <w:noProof/>
          <w:lang w:val="es-BO" w:eastAsia="es-BO"/>
        </w:rPr>
        <w:drawing>
          <wp:inline distT="0" distB="0" distL="0" distR="0" wp14:anchorId="5D33761D" wp14:editId="1A472C53">
            <wp:extent cx="2695575" cy="1514475"/>
            <wp:effectExtent l="0" t="0" r="9525" b="9525"/>
            <wp:docPr id="213" name="Gráfico 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36B22" w:rsidRDefault="00DB15B8" w:rsidP="00231DD9">
      <w:pPr>
        <w:spacing w:after="0" w:line="360" w:lineRule="auto"/>
        <w:jc w:val="both"/>
        <w:rPr>
          <w:rFonts w:cs="Times New Roman"/>
          <w:sz w:val="22"/>
          <w:lang w:eastAsia="es-ES"/>
        </w:rPr>
      </w:pPr>
      <w:r w:rsidRPr="00DB15B8">
        <w:rPr>
          <w:rFonts w:cs="Times New Roman"/>
          <w:sz w:val="22"/>
          <w:lang w:eastAsia="es-ES"/>
        </w:rPr>
        <w:t>En cuanto a la aplicación de roca fosfórica no se encontró diferencias significativas</w:t>
      </w:r>
      <w:r w:rsidR="000308ED">
        <w:rPr>
          <w:rFonts w:cs="Times New Roman"/>
          <w:sz w:val="22"/>
          <w:lang w:eastAsia="es-ES"/>
        </w:rPr>
        <w:t xml:space="preserve">. </w:t>
      </w:r>
      <w:r w:rsidRPr="00DB15B8">
        <w:rPr>
          <w:rFonts w:cs="Times New Roman"/>
          <w:sz w:val="22"/>
          <w:lang w:eastAsia="es-ES"/>
        </w:rPr>
        <w:t>Lo cual podría deberse a que</w:t>
      </w:r>
      <w:r w:rsidRPr="00DB15B8">
        <w:rPr>
          <w:rFonts w:cs="Times New Roman"/>
          <w:sz w:val="22"/>
        </w:rPr>
        <w:t xml:space="preserve"> las raíces absorben cantidades muy pequeñas de fósforo (Corrales </w:t>
      </w:r>
      <w:r w:rsidRPr="00654F89">
        <w:rPr>
          <w:rFonts w:cs="Times New Roman"/>
          <w:sz w:val="22"/>
        </w:rPr>
        <w:t>et al</w:t>
      </w:r>
      <w:r w:rsidRPr="00DB15B8">
        <w:rPr>
          <w:rFonts w:cs="Times New Roman"/>
          <w:sz w:val="22"/>
        </w:rPr>
        <w:t xml:space="preserve">, 2017), siendo </w:t>
      </w:r>
      <w:r w:rsidR="00057ED7">
        <w:rPr>
          <w:rFonts w:cs="Times New Roman"/>
          <w:sz w:val="22"/>
        </w:rPr>
        <w:t xml:space="preserve">necesarias </w:t>
      </w:r>
      <w:r w:rsidRPr="00DB15B8">
        <w:rPr>
          <w:rFonts w:cs="Times New Roman"/>
          <w:sz w:val="22"/>
        </w:rPr>
        <w:t>las asoc</w:t>
      </w:r>
      <w:r w:rsidR="00057ED7">
        <w:rPr>
          <w:rFonts w:cs="Times New Roman"/>
          <w:sz w:val="22"/>
        </w:rPr>
        <w:t xml:space="preserve">iaciones simbióticas </w:t>
      </w:r>
      <w:r w:rsidRPr="00DB15B8">
        <w:rPr>
          <w:rFonts w:cs="Times New Roman"/>
          <w:sz w:val="22"/>
        </w:rPr>
        <w:t xml:space="preserve">entre raíces y microorganismos los cuales participan en </w:t>
      </w:r>
      <w:r w:rsidRPr="00DB15B8">
        <w:rPr>
          <w:rFonts w:cs="Times New Roman"/>
          <w:color w:val="000000"/>
          <w:sz w:val="22"/>
          <w:shd w:val="clear" w:color="auto" w:fill="FFFFFF"/>
        </w:rPr>
        <w:lastRenderedPageBreak/>
        <w:t>la solubilización del P por la acción metabólica.  (Goldstein y Krishnaraj, 2007),</w:t>
      </w:r>
      <w:r w:rsidRPr="00DB15B8">
        <w:rPr>
          <w:rFonts w:cs="Times New Roman"/>
          <w:sz w:val="22"/>
        </w:rPr>
        <w:t xml:space="preserve"> </w:t>
      </w:r>
    </w:p>
    <w:p w:rsidR="004A4FD0" w:rsidRDefault="00DB15B8" w:rsidP="00DB15B8">
      <w:pPr>
        <w:spacing w:after="0" w:line="276" w:lineRule="auto"/>
        <w:jc w:val="both"/>
        <w:rPr>
          <w:rFonts w:cs="Times New Roman"/>
          <w:b/>
          <w:sz w:val="22"/>
          <w:lang w:eastAsia="es-ES"/>
        </w:rPr>
      </w:pPr>
      <w:r w:rsidRPr="00DB15B8">
        <w:rPr>
          <w:rFonts w:cs="Times New Roman"/>
          <w:b/>
          <w:sz w:val="22"/>
          <w:lang w:eastAsia="es-ES"/>
        </w:rPr>
        <w:t>Longitud</w:t>
      </w:r>
      <w:r w:rsidR="004A4FD0">
        <w:rPr>
          <w:rFonts w:cs="Times New Roman"/>
          <w:b/>
          <w:sz w:val="22"/>
          <w:lang w:eastAsia="es-ES"/>
        </w:rPr>
        <w:t xml:space="preserve"> de raíz</w:t>
      </w:r>
    </w:p>
    <w:p w:rsidR="00DB15B8" w:rsidRPr="00057ED7" w:rsidRDefault="00057ED7" w:rsidP="00654F89">
      <w:pPr>
        <w:spacing w:after="0" w:line="360" w:lineRule="auto"/>
        <w:jc w:val="both"/>
        <w:rPr>
          <w:rFonts w:cs="Times New Roman"/>
          <w:b/>
          <w:sz w:val="22"/>
          <w:lang w:eastAsia="es-ES"/>
        </w:rPr>
      </w:pPr>
      <w:r>
        <w:rPr>
          <w:rFonts w:cs="Times New Roman"/>
          <w:sz w:val="22"/>
          <w:lang w:eastAsia="es-ES"/>
        </w:rPr>
        <w:t>E</w:t>
      </w:r>
      <w:r w:rsidR="00DB15B8" w:rsidRPr="00DB15B8">
        <w:rPr>
          <w:rFonts w:cs="Times New Roman"/>
          <w:sz w:val="22"/>
          <w:lang w:eastAsia="es-ES"/>
        </w:rPr>
        <w:t>l</w:t>
      </w:r>
      <w:r>
        <w:rPr>
          <w:rFonts w:cs="Times New Roman"/>
          <w:sz w:val="22"/>
          <w:lang w:eastAsia="es-ES"/>
        </w:rPr>
        <w:t xml:space="preserve"> análisis de varianza, mostro </w:t>
      </w:r>
      <w:r w:rsidR="00DB15B8" w:rsidRPr="00DB15B8">
        <w:rPr>
          <w:rFonts w:cs="Times New Roman"/>
          <w:sz w:val="22"/>
          <w:lang w:eastAsia="es-ES"/>
        </w:rPr>
        <w:t>diferencias significativas (Pr≤0.05) para el efecto fijo de las bacterias</w:t>
      </w:r>
      <w:r w:rsidR="00F05977">
        <w:rPr>
          <w:rFonts w:cs="Times New Roman"/>
          <w:sz w:val="22"/>
          <w:lang w:eastAsia="es-ES"/>
        </w:rPr>
        <w:t xml:space="preserve">, roca fosfórica y </w:t>
      </w:r>
      <w:r w:rsidR="004A4FD0">
        <w:rPr>
          <w:rFonts w:cs="Times New Roman"/>
          <w:sz w:val="22"/>
          <w:lang w:eastAsia="es-ES"/>
        </w:rPr>
        <w:t>su interacción</w:t>
      </w:r>
      <w:r w:rsidR="00F05977">
        <w:rPr>
          <w:rFonts w:cs="Times New Roman"/>
          <w:sz w:val="22"/>
          <w:lang w:eastAsia="es-ES"/>
        </w:rPr>
        <w:t>.</w:t>
      </w:r>
      <w:r w:rsidR="00655755">
        <w:rPr>
          <w:rFonts w:cs="Times New Roman"/>
          <w:sz w:val="22"/>
          <w:lang w:eastAsia="es-ES"/>
        </w:rPr>
        <w:t xml:space="preserve"> </w:t>
      </w:r>
    </w:p>
    <w:p w:rsidR="00662FA6" w:rsidRDefault="00DB15B8" w:rsidP="00654F89">
      <w:pPr>
        <w:spacing w:line="360" w:lineRule="auto"/>
        <w:jc w:val="both"/>
        <w:rPr>
          <w:rFonts w:cs="Times New Roman"/>
          <w:color w:val="000000"/>
          <w:sz w:val="22"/>
          <w:shd w:val="clear" w:color="auto" w:fill="FFFFFF"/>
        </w:rPr>
      </w:pPr>
      <w:r w:rsidRPr="00DB15B8">
        <w:rPr>
          <w:rFonts w:cs="Times New Roman"/>
          <w:sz w:val="22"/>
          <w:lang w:eastAsia="es-ES"/>
        </w:rPr>
        <w:t>Los resultados obtenidos de los tratamientos con bacterias</w:t>
      </w:r>
      <w:r w:rsidR="00F05977">
        <w:rPr>
          <w:rFonts w:cs="Times New Roman"/>
          <w:sz w:val="22"/>
          <w:lang w:eastAsia="es-ES"/>
        </w:rPr>
        <w:t xml:space="preserve"> y sin roca fosfórica (Figura 9</w:t>
      </w:r>
      <w:r w:rsidRPr="00DB15B8">
        <w:rPr>
          <w:rFonts w:cs="Times New Roman"/>
          <w:sz w:val="22"/>
          <w:lang w:eastAsia="es-ES"/>
        </w:rPr>
        <w:t xml:space="preserve">), mostraron que las cepas  de </w:t>
      </w:r>
      <w:r w:rsidRPr="00DB15B8">
        <w:rPr>
          <w:rFonts w:cs="Times New Roman"/>
          <w:i/>
          <w:sz w:val="22"/>
          <w:lang w:eastAsia="es-ES"/>
        </w:rPr>
        <w:t>Bacillus</w:t>
      </w:r>
      <w:r w:rsidRPr="00DB15B8">
        <w:rPr>
          <w:rFonts w:cs="Times New Roman"/>
          <w:sz w:val="22"/>
          <w:lang w:eastAsia="es-ES"/>
        </w:rPr>
        <w:t xml:space="preserve"> FB12, FB14, FB8 y FB1 obtuvieron mejores r</w:t>
      </w:r>
      <w:r w:rsidR="004A4FD0">
        <w:rPr>
          <w:rFonts w:cs="Times New Roman"/>
          <w:sz w:val="22"/>
          <w:lang w:eastAsia="es-ES"/>
        </w:rPr>
        <w:t xml:space="preserve">esultados, con </w:t>
      </w:r>
      <w:r w:rsidRPr="00DB15B8">
        <w:rPr>
          <w:rFonts w:cs="Times New Roman"/>
          <w:sz w:val="22"/>
          <w:lang w:eastAsia="es-ES"/>
        </w:rPr>
        <w:t>altura</w:t>
      </w:r>
      <w:r w:rsidR="004A4FD0">
        <w:rPr>
          <w:rFonts w:cs="Times New Roman"/>
          <w:sz w:val="22"/>
          <w:lang w:eastAsia="es-ES"/>
        </w:rPr>
        <w:t>s</w:t>
      </w:r>
      <w:r w:rsidRPr="00DB15B8">
        <w:rPr>
          <w:rFonts w:cs="Times New Roman"/>
          <w:sz w:val="22"/>
          <w:lang w:eastAsia="es-ES"/>
        </w:rPr>
        <w:t xml:space="preserve"> 49.7, 44.7, 44.7 y 44 cm, respectivamente</w:t>
      </w:r>
      <w:r w:rsidR="00806C9B">
        <w:rPr>
          <w:rFonts w:cs="Times New Roman"/>
          <w:sz w:val="22"/>
          <w:lang w:eastAsia="es-ES"/>
        </w:rPr>
        <w:t>, superando a</w:t>
      </w:r>
      <w:r w:rsidRPr="00DB15B8">
        <w:rPr>
          <w:rFonts w:cs="Times New Roman"/>
          <w:sz w:val="22"/>
          <w:lang w:eastAsia="es-ES"/>
        </w:rPr>
        <w:t>l testi</w:t>
      </w:r>
      <w:r w:rsidR="00806C9B">
        <w:rPr>
          <w:rFonts w:cs="Times New Roman"/>
          <w:sz w:val="22"/>
          <w:lang w:eastAsia="es-ES"/>
        </w:rPr>
        <w:t>go comercial</w:t>
      </w:r>
      <w:r w:rsidRPr="00DB15B8">
        <w:rPr>
          <w:rFonts w:cs="Times New Roman"/>
          <w:sz w:val="22"/>
          <w:lang w:eastAsia="es-ES"/>
        </w:rPr>
        <w:t>, donde se encontró una altura promedio de 43 cm.  El tratamiento que registró menor longitud de raíz fue el T0 (Testigo absoluto).</w:t>
      </w:r>
      <w:r w:rsidR="00655755">
        <w:rPr>
          <w:rFonts w:cs="Times New Roman"/>
          <w:color w:val="000000"/>
          <w:sz w:val="22"/>
          <w:shd w:val="clear" w:color="auto" w:fill="FFFFFF"/>
        </w:rPr>
        <w:t xml:space="preserve"> </w:t>
      </w:r>
    </w:p>
    <w:p w:rsidR="00662FA6" w:rsidRPr="00662FA6" w:rsidRDefault="00654F89" w:rsidP="00DB15B8">
      <w:pPr>
        <w:spacing w:line="276" w:lineRule="auto"/>
        <w:jc w:val="both"/>
        <w:rPr>
          <w:rFonts w:cs="Times New Roman"/>
          <w:color w:val="000000"/>
          <w:sz w:val="20"/>
          <w:szCs w:val="20"/>
          <w:shd w:val="clear" w:color="auto" w:fill="FFFFFF"/>
        </w:rPr>
      </w:pPr>
      <w:bookmarkStart w:id="33" w:name="_Toc103543024"/>
      <w:bookmarkStart w:id="34" w:name="_Toc105619727"/>
      <w:r>
        <w:rPr>
          <w:rFonts w:cs="Times New Roman"/>
          <w:b/>
          <w:sz w:val="20"/>
          <w:szCs w:val="20"/>
        </w:rPr>
        <w:t>Figura</w:t>
      </w:r>
      <w:r w:rsidR="00662FA6" w:rsidRPr="00662FA6">
        <w:rPr>
          <w:rFonts w:cs="Times New Roman"/>
          <w:b/>
          <w:sz w:val="20"/>
          <w:szCs w:val="20"/>
        </w:rPr>
        <w:t xml:space="preserve"> 9</w:t>
      </w:r>
      <w:r>
        <w:rPr>
          <w:rFonts w:cs="Times New Roman"/>
          <w:b/>
          <w:sz w:val="20"/>
          <w:szCs w:val="20"/>
        </w:rPr>
        <w:t>.</w:t>
      </w:r>
      <w:r w:rsidR="00662FA6" w:rsidRPr="00662FA6">
        <w:rPr>
          <w:rFonts w:cs="Times New Roman"/>
          <w:sz w:val="20"/>
          <w:szCs w:val="20"/>
        </w:rPr>
        <w:t xml:space="preserve">    Efecto de la inoculación de aislados bacterianos sobre la longitud de raíz</w:t>
      </w:r>
      <w:bookmarkEnd w:id="33"/>
      <w:bookmarkEnd w:id="34"/>
    </w:p>
    <w:p w:rsidR="00662FA6" w:rsidRDefault="00C741B5" w:rsidP="00DB15B8">
      <w:pPr>
        <w:spacing w:line="276" w:lineRule="auto"/>
        <w:jc w:val="both"/>
        <w:rPr>
          <w:rFonts w:cs="Times New Roman"/>
          <w:color w:val="000000"/>
          <w:sz w:val="22"/>
          <w:shd w:val="clear" w:color="auto" w:fill="FFFFFF"/>
        </w:rPr>
      </w:pPr>
      <w:r>
        <w:rPr>
          <w:noProof/>
          <w:lang w:val="es-BO" w:eastAsia="es-BO"/>
        </w:rPr>
        <w:drawing>
          <wp:inline distT="0" distB="0" distL="0" distR="0" wp14:anchorId="29DA7365" wp14:editId="3C89ABA1">
            <wp:extent cx="2760980" cy="1666875"/>
            <wp:effectExtent l="0" t="0" r="1270" b="9525"/>
            <wp:docPr id="289" name="Gráfico 28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B15B8" w:rsidRDefault="00655755" w:rsidP="00654F89">
      <w:pPr>
        <w:spacing w:line="360" w:lineRule="auto"/>
        <w:jc w:val="both"/>
        <w:rPr>
          <w:rFonts w:cs="Times New Roman"/>
          <w:color w:val="000000"/>
          <w:sz w:val="22"/>
          <w:shd w:val="clear" w:color="auto" w:fill="FFFFFF"/>
        </w:rPr>
      </w:pPr>
      <w:r>
        <w:rPr>
          <w:rFonts w:cs="Times New Roman"/>
          <w:color w:val="000000"/>
          <w:sz w:val="22"/>
          <w:shd w:val="clear" w:color="auto" w:fill="FFFFFF"/>
        </w:rPr>
        <w:t>E</w:t>
      </w:r>
      <w:r w:rsidR="00DB15B8" w:rsidRPr="00DB15B8">
        <w:rPr>
          <w:rFonts w:cs="Times New Roman"/>
          <w:color w:val="000000"/>
          <w:sz w:val="22"/>
          <w:shd w:val="clear" w:color="auto" w:fill="FFFFFF"/>
        </w:rPr>
        <w:t>n los tratamientos donde se aplicó roca fosfóric</w:t>
      </w:r>
      <w:r>
        <w:rPr>
          <w:rFonts w:cs="Times New Roman"/>
          <w:color w:val="000000"/>
          <w:sz w:val="22"/>
          <w:shd w:val="clear" w:color="auto" w:fill="FFFFFF"/>
        </w:rPr>
        <w:t>a para ver la interacción con las</w:t>
      </w:r>
      <w:r w:rsidR="00DB15B8" w:rsidRPr="00DB15B8">
        <w:rPr>
          <w:rFonts w:cs="Times New Roman"/>
          <w:color w:val="000000"/>
          <w:sz w:val="22"/>
          <w:shd w:val="clear" w:color="auto" w:fill="FFFFFF"/>
        </w:rPr>
        <w:t xml:space="preserve"> cepas ais</w:t>
      </w:r>
      <w:r>
        <w:rPr>
          <w:rFonts w:cs="Times New Roman"/>
          <w:color w:val="000000"/>
          <w:sz w:val="22"/>
          <w:shd w:val="clear" w:color="auto" w:fill="FFFFFF"/>
        </w:rPr>
        <w:t>ladas</w:t>
      </w:r>
      <w:r w:rsidR="00F05977">
        <w:rPr>
          <w:rFonts w:cs="Times New Roman"/>
          <w:color w:val="000000"/>
          <w:sz w:val="22"/>
          <w:shd w:val="clear" w:color="auto" w:fill="FFFFFF"/>
        </w:rPr>
        <w:t xml:space="preserve"> (Figura 10</w:t>
      </w:r>
      <w:r w:rsidR="00DB15B8" w:rsidRPr="00DB15B8">
        <w:rPr>
          <w:rFonts w:cs="Times New Roman"/>
          <w:color w:val="000000"/>
          <w:sz w:val="22"/>
          <w:shd w:val="clear" w:color="auto" w:fill="FFFFFF"/>
        </w:rPr>
        <w:t>), se encontró longitudes desde 29 cm en T0, hasta 56 cm en T24 (FB12) y T18 (FB9</w:t>
      </w:r>
      <w:r w:rsidR="00F05977">
        <w:rPr>
          <w:rFonts w:cs="Times New Roman"/>
          <w:color w:val="000000"/>
          <w:sz w:val="22"/>
          <w:shd w:val="clear" w:color="auto" w:fill="FFFFFF"/>
        </w:rPr>
        <w:t>)</w:t>
      </w:r>
      <w:r w:rsidR="00DB15B8" w:rsidRPr="00DB15B8">
        <w:rPr>
          <w:rFonts w:cs="Times New Roman"/>
          <w:color w:val="000000"/>
          <w:sz w:val="22"/>
          <w:shd w:val="clear" w:color="auto" w:fill="FFFFFF"/>
        </w:rPr>
        <w:t>. Estos resultados podrían indicar la capacidad de las BSF con relación a la promoción de crecimiento vegetal.</w:t>
      </w:r>
    </w:p>
    <w:p w:rsidR="00005E46" w:rsidRDefault="00005E46" w:rsidP="00654F89">
      <w:pPr>
        <w:spacing w:line="360" w:lineRule="auto"/>
        <w:jc w:val="both"/>
        <w:rPr>
          <w:rFonts w:cs="Times New Roman"/>
          <w:color w:val="000000"/>
          <w:sz w:val="22"/>
          <w:shd w:val="clear" w:color="auto" w:fill="FFFFFF"/>
        </w:rPr>
      </w:pPr>
    </w:p>
    <w:p w:rsidR="00B36B22" w:rsidRPr="004A4FD0" w:rsidRDefault="00605855" w:rsidP="004A4FD0">
      <w:pPr>
        <w:spacing w:line="240" w:lineRule="auto"/>
        <w:jc w:val="both"/>
        <w:rPr>
          <w:rFonts w:cs="Times New Roman"/>
          <w:color w:val="000000"/>
          <w:sz w:val="20"/>
          <w:szCs w:val="20"/>
          <w:shd w:val="clear" w:color="auto" w:fill="FFFFFF"/>
        </w:rPr>
      </w:pPr>
      <w:bookmarkStart w:id="35" w:name="_Toc103543025"/>
      <w:bookmarkStart w:id="36" w:name="_Toc105619728"/>
      <w:r w:rsidRPr="00057ED7">
        <w:rPr>
          <w:rFonts w:cs="Times New Roman"/>
          <w:b/>
          <w:sz w:val="20"/>
          <w:szCs w:val="20"/>
        </w:rPr>
        <w:lastRenderedPageBreak/>
        <w:t>Fig</w:t>
      </w:r>
      <w:r w:rsidR="00654F89">
        <w:rPr>
          <w:rFonts w:cs="Times New Roman"/>
          <w:b/>
          <w:sz w:val="20"/>
          <w:szCs w:val="20"/>
        </w:rPr>
        <w:t>ura</w:t>
      </w:r>
      <w:r w:rsidR="00F05977" w:rsidRPr="00057ED7">
        <w:rPr>
          <w:rFonts w:cs="Times New Roman"/>
          <w:b/>
          <w:sz w:val="20"/>
          <w:szCs w:val="20"/>
        </w:rPr>
        <w:t xml:space="preserve"> 10</w:t>
      </w:r>
      <w:r w:rsidR="00654F89">
        <w:rPr>
          <w:rFonts w:cs="Times New Roman"/>
          <w:b/>
          <w:sz w:val="20"/>
          <w:szCs w:val="20"/>
        </w:rPr>
        <w:t>.</w:t>
      </w:r>
      <w:r w:rsidRPr="00057ED7">
        <w:rPr>
          <w:rFonts w:cs="Times New Roman"/>
          <w:sz w:val="20"/>
          <w:szCs w:val="20"/>
        </w:rPr>
        <w:t xml:space="preserve">    Efecto de la inoculación de aislados bacterianos y la aplicación de roca fosfórica sobre la longitud de raíz.</w:t>
      </w:r>
      <w:bookmarkEnd w:id="35"/>
      <w:bookmarkEnd w:id="36"/>
    </w:p>
    <w:p w:rsidR="00C741B5" w:rsidRDefault="00C741B5" w:rsidP="00654F89">
      <w:pPr>
        <w:spacing w:after="0" w:line="360" w:lineRule="auto"/>
        <w:jc w:val="both"/>
        <w:rPr>
          <w:rFonts w:cs="Times New Roman"/>
          <w:sz w:val="22"/>
          <w:lang w:eastAsia="es-ES"/>
        </w:rPr>
      </w:pPr>
      <w:r>
        <w:rPr>
          <w:noProof/>
          <w:lang w:val="es-BO" w:eastAsia="es-BO"/>
        </w:rPr>
        <w:drawing>
          <wp:inline distT="0" distB="0" distL="0" distR="0" wp14:anchorId="0A2DD3DE" wp14:editId="1B25ADAA">
            <wp:extent cx="2809875" cy="1619250"/>
            <wp:effectExtent l="0" t="0" r="9525"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05855" w:rsidRDefault="00C46640" w:rsidP="00654F89">
      <w:pPr>
        <w:spacing w:after="0" w:line="360" w:lineRule="auto"/>
        <w:jc w:val="both"/>
        <w:rPr>
          <w:rFonts w:cs="Times New Roman"/>
          <w:sz w:val="22"/>
          <w:lang w:eastAsia="es-ES"/>
        </w:rPr>
      </w:pPr>
      <w:r>
        <w:rPr>
          <w:rFonts w:cs="Times New Roman"/>
          <w:sz w:val="22"/>
          <w:lang w:eastAsia="es-ES"/>
        </w:rPr>
        <w:t>R</w:t>
      </w:r>
      <w:r w:rsidR="00605855" w:rsidRPr="00605855">
        <w:rPr>
          <w:rFonts w:cs="Times New Roman"/>
          <w:sz w:val="22"/>
          <w:lang w:eastAsia="es-ES"/>
        </w:rPr>
        <w:t>especto a la aplic</w:t>
      </w:r>
      <w:r w:rsidR="004A4FD0">
        <w:rPr>
          <w:rFonts w:cs="Times New Roman"/>
          <w:sz w:val="22"/>
          <w:lang w:eastAsia="es-ES"/>
        </w:rPr>
        <w:t>ación de roca fosfórica,</w:t>
      </w:r>
      <w:r w:rsidR="00D86843">
        <w:rPr>
          <w:rFonts w:cs="Times New Roman"/>
          <w:sz w:val="22"/>
          <w:lang w:eastAsia="es-ES"/>
        </w:rPr>
        <w:t xml:space="preserve"> este fue</w:t>
      </w:r>
      <w:r w:rsidR="00605855" w:rsidRPr="00605855">
        <w:rPr>
          <w:rFonts w:cs="Times New Roman"/>
          <w:sz w:val="22"/>
          <w:lang w:eastAsia="es-ES"/>
        </w:rPr>
        <w:t xml:space="preserve"> significativo</w:t>
      </w:r>
      <w:r w:rsidR="00D86843">
        <w:rPr>
          <w:rFonts w:cs="Times New Roman"/>
          <w:sz w:val="22"/>
          <w:lang w:eastAsia="es-ES"/>
        </w:rPr>
        <w:t>,</w:t>
      </w:r>
      <w:r w:rsidR="00605855" w:rsidRPr="00605855">
        <w:rPr>
          <w:rFonts w:cs="Times New Roman"/>
          <w:sz w:val="22"/>
          <w:lang w:eastAsia="es-ES"/>
        </w:rPr>
        <w:t xml:space="preserve"> se halló longitudes de raíz promedio de  46.93 cm  en comparación con  aquellos tratamientos donde no</w:t>
      </w:r>
      <w:r>
        <w:rPr>
          <w:rFonts w:cs="Times New Roman"/>
          <w:sz w:val="22"/>
          <w:lang w:eastAsia="es-ES"/>
        </w:rPr>
        <w:t xml:space="preserve"> se aplicó RF, esto</w:t>
      </w:r>
      <w:r w:rsidR="00605855" w:rsidRPr="00605855">
        <w:rPr>
          <w:rFonts w:cs="Times New Roman"/>
          <w:sz w:val="22"/>
          <w:lang w:eastAsia="es-ES"/>
        </w:rPr>
        <w:t>s reportaron alturas promedio de 37 cm (figura</w:t>
      </w:r>
      <w:r w:rsidR="00F05977">
        <w:rPr>
          <w:rFonts w:cs="Times New Roman"/>
          <w:sz w:val="22"/>
          <w:lang w:eastAsia="es-ES"/>
        </w:rPr>
        <w:t xml:space="preserve"> 11</w:t>
      </w:r>
      <w:r w:rsidR="00605855" w:rsidRPr="00605855">
        <w:rPr>
          <w:rFonts w:cs="Times New Roman"/>
          <w:sz w:val="22"/>
          <w:lang w:eastAsia="es-ES"/>
        </w:rPr>
        <w:t xml:space="preserve">). </w:t>
      </w:r>
    </w:p>
    <w:p w:rsidR="004A4FD0" w:rsidRDefault="004A4FD0" w:rsidP="00605855">
      <w:pPr>
        <w:spacing w:after="0" w:line="276" w:lineRule="auto"/>
        <w:jc w:val="both"/>
        <w:rPr>
          <w:rFonts w:cs="Times New Roman"/>
          <w:sz w:val="22"/>
          <w:lang w:eastAsia="es-ES"/>
        </w:rPr>
      </w:pPr>
    </w:p>
    <w:p w:rsidR="00605855" w:rsidRDefault="00654F89" w:rsidP="00605855">
      <w:pPr>
        <w:pStyle w:val="Descripcin"/>
        <w:rPr>
          <w:rFonts w:cs="Times New Roman"/>
          <w:i w:val="0"/>
          <w:color w:val="auto"/>
          <w:sz w:val="22"/>
          <w:szCs w:val="22"/>
        </w:rPr>
      </w:pPr>
      <w:bookmarkStart w:id="37" w:name="_Toc103543026"/>
      <w:bookmarkStart w:id="38" w:name="_Toc105619729"/>
      <w:r>
        <w:rPr>
          <w:rFonts w:cs="Times New Roman"/>
          <w:b/>
          <w:i w:val="0"/>
          <w:color w:val="auto"/>
          <w:sz w:val="22"/>
          <w:szCs w:val="22"/>
        </w:rPr>
        <w:t xml:space="preserve">Figura </w:t>
      </w:r>
      <w:r w:rsidR="00F05977">
        <w:rPr>
          <w:rFonts w:cs="Times New Roman"/>
          <w:b/>
          <w:i w:val="0"/>
          <w:color w:val="auto"/>
          <w:sz w:val="22"/>
          <w:szCs w:val="22"/>
        </w:rPr>
        <w:t>11</w:t>
      </w:r>
      <w:r>
        <w:rPr>
          <w:rFonts w:cs="Times New Roman"/>
          <w:b/>
          <w:i w:val="0"/>
          <w:color w:val="auto"/>
          <w:sz w:val="22"/>
          <w:szCs w:val="22"/>
        </w:rPr>
        <w:t>.</w:t>
      </w:r>
      <w:r w:rsidR="00605855" w:rsidRPr="00456F54">
        <w:rPr>
          <w:rFonts w:cs="Times New Roman"/>
          <w:i w:val="0"/>
          <w:color w:val="auto"/>
          <w:sz w:val="22"/>
          <w:szCs w:val="22"/>
        </w:rPr>
        <w:t xml:space="preserve">    Efecto de la aplicación de roca fosfórica sobre la longitud de raíz.</w:t>
      </w:r>
      <w:bookmarkEnd w:id="37"/>
      <w:bookmarkEnd w:id="38"/>
    </w:p>
    <w:p w:rsidR="00F05977" w:rsidRPr="004A4FD0" w:rsidRDefault="00605855" w:rsidP="004A4FD0">
      <w:r>
        <w:rPr>
          <w:noProof/>
          <w:lang w:val="es-BO" w:eastAsia="es-BO"/>
        </w:rPr>
        <w:drawing>
          <wp:inline distT="0" distB="0" distL="0" distR="0" wp14:anchorId="4935C8FE" wp14:editId="2F6C9111">
            <wp:extent cx="2708031" cy="1600200"/>
            <wp:effectExtent l="0" t="0" r="16510" b="0"/>
            <wp:docPr id="257" name="Gráfico 25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2483E" w:rsidRDefault="0024572B" w:rsidP="009829EB">
      <w:pPr>
        <w:spacing w:after="0" w:line="276" w:lineRule="auto"/>
        <w:jc w:val="both"/>
        <w:rPr>
          <w:rFonts w:cs="Times New Roman"/>
          <w:b/>
          <w:sz w:val="22"/>
          <w:lang w:eastAsia="es-ES"/>
        </w:rPr>
      </w:pPr>
      <w:r>
        <w:rPr>
          <w:rFonts w:cs="Times New Roman"/>
          <w:b/>
          <w:sz w:val="22"/>
          <w:lang w:eastAsia="es-ES"/>
        </w:rPr>
        <w:t>Peso fresco de raíz</w:t>
      </w:r>
    </w:p>
    <w:p w:rsidR="00C2483E" w:rsidRDefault="002E796D" w:rsidP="00654F89">
      <w:pPr>
        <w:spacing w:after="0" w:line="360" w:lineRule="auto"/>
        <w:jc w:val="both"/>
        <w:rPr>
          <w:rFonts w:cs="Times New Roman"/>
          <w:sz w:val="22"/>
        </w:rPr>
      </w:pPr>
      <w:r>
        <w:rPr>
          <w:rFonts w:cs="Times New Roman"/>
          <w:sz w:val="22"/>
          <w:lang w:eastAsia="es-ES"/>
        </w:rPr>
        <w:t>Con la aplicación de</w:t>
      </w:r>
      <w:r w:rsidR="0024572B" w:rsidRPr="0024572B">
        <w:rPr>
          <w:rFonts w:cs="Times New Roman"/>
          <w:sz w:val="22"/>
        </w:rPr>
        <w:t xml:space="preserve"> roca fosfórica</w:t>
      </w:r>
      <w:r w:rsidR="00D86843">
        <w:rPr>
          <w:rFonts w:cs="Times New Roman"/>
          <w:sz w:val="22"/>
        </w:rPr>
        <w:t xml:space="preserve"> (RF)</w:t>
      </w:r>
      <w:r w:rsidR="0024572B" w:rsidRPr="0024572B">
        <w:rPr>
          <w:rFonts w:cs="Times New Roman"/>
          <w:sz w:val="22"/>
        </w:rPr>
        <w:t xml:space="preserve"> el peso de raíz fue de 13 gr y sin la aplicación</w:t>
      </w:r>
      <w:r w:rsidR="00D86843">
        <w:rPr>
          <w:rFonts w:cs="Times New Roman"/>
          <w:sz w:val="22"/>
        </w:rPr>
        <w:t xml:space="preserve"> de esta fuente de fósforo </w:t>
      </w:r>
      <w:r w:rsidR="0024572B" w:rsidRPr="0024572B">
        <w:rPr>
          <w:rFonts w:cs="Times New Roman"/>
          <w:sz w:val="22"/>
        </w:rPr>
        <w:t>fue de 8.5 gr  (Figura</w:t>
      </w:r>
      <w:r w:rsidR="009829EB">
        <w:rPr>
          <w:rFonts w:cs="Times New Roman"/>
          <w:sz w:val="22"/>
        </w:rPr>
        <w:t xml:space="preserve"> 14</w:t>
      </w:r>
      <w:r w:rsidR="0024572B" w:rsidRPr="0024572B">
        <w:rPr>
          <w:rFonts w:cs="Times New Roman"/>
          <w:sz w:val="22"/>
        </w:rPr>
        <w:t>), esto muestra que la aplica</w:t>
      </w:r>
      <w:r w:rsidR="00D86843">
        <w:rPr>
          <w:rFonts w:cs="Times New Roman"/>
          <w:sz w:val="22"/>
        </w:rPr>
        <w:t>ción de roca RF</w:t>
      </w:r>
      <w:r w:rsidR="0024572B" w:rsidRPr="0024572B">
        <w:rPr>
          <w:rFonts w:cs="Times New Roman"/>
          <w:sz w:val="22"/>
        </w:rPr>
        <w:t xml:space="preserve"> incremento el desarrollo r</w:t>
      </w:r>
      <w:r w:rsidR="00D86843">
        <w:rPr>
          <w:rFonts w:cs="Times New Roman"/>
          <w:sz w:val="22"/>
        </w:rPr>
        <w:t>adicular de la planta</w:t>
      </w:r>
      <w:r w:rsidR="0024572B" w:rsidRPr="0024572B">
        <w:rPr>
          <w:rFonts w:cs="Times New Roman"/>
          <w:sz w:val="22"/>
        </w:rPr>
        <w:t xml:space="preserve">. </w:t>
      </w:r>
    </w:p>
    <w:p w:rsidR="002E796D" w:rsidRPr="00C2483E" w:rsidRDefault="0024572B" w:rsidP="00654F89">
      <w:pPr>
        <w:spacing w:after="0" w:line="360" w:lineRule="auto"/>
        <w:jc w:val="both"/>
        <w:rPr>
          <w:rFonts w:cs="Times New Roman"/>
          <w:b/>
          <w:sz w:val="22"/>
          <w:lang w:eastAsia="es-ES"/>
        </w:rPr>
      </w:pPr>
      <w:r w:rsidRPr="0024572B">
        <w:rPr>
          <w:rFonts w:cs="Times New Roman"/>
          <w:sz w:val="22"/>
        </w:rPr>
        <w:t xml:space="preserve"> </w:t>
      </w:r>
      <w:r w:rsidR="00D86843" w:rsidRPr="0024572B">
        <w:rPr>
          <w:rFonts w:cs="Times New Roman"/>
          <w:sz w:val="22"/>
        </w:rPr>
        <w:t>Se</w:t>
      </w:r>
      <w:r w:rsidRPr="0024572B">
        <w:rPr>
          <w:rFonts w:cs="Times New Roman"/>
          <w:sz w:val="22"/>
        </w:rPr>
        <w:t xml:space="preserve"> observa que </w:t>
      </w:r>
      <w:r w:rsidR="00C2483E">
        <w:rPr>
          <w:rFonts w:cs="Times New Roman"/>
          <w:sz w:val="22"/>
        </w:rPr>
        <w:t xml:space="preserve">en la mayoría de los casos </w:t>
      </w:r>
      <w:r w:rsidRPr="0024572B">
        <w:rPr>
          <w:rFonts w:cs="Times New Roman"/>
          <w:sz w:val="22"/>
        </w:rPr>
        <w:t>donde se aplicó ro</w:t>
      </w:r>
      <w:r w:rsidR="00C46640">
        <w:rPr>
          <w:rFonts w:cs="Times New Roman"/>
          <w:sz w:val="22"/>
        </w:rPr>
        <w:t>ca fosfórica y bacterias  superaron</w:t>
      </w:r>
      <w:r w:rsidRPr="0024572B">
        <w:rPr>
          <w:rFonts w:cs="Times New Roman"/>
          <w:sz w:val="22"/>
        </w:rPr>
        <w:t xml:space="preserve"> a aquellos donde solo se aplicó bacterias, a excepción del testigo comercial donde se observó </w:t>
      </w:r>
      <w:r w:rsidRPr="0024572B">
        <w:rPr>
          <w:rFonts w:cs="Times New Roman"/>
          <w:sz w:val="22"/>
        </w:rPr>
        <w:lastRenderedPageBreak/>
        <w:t xml:space="preserve">el mismo comportamiento en ambos casos. </w:t>
      </w:r>
      <w:r w:rsidR="002E796D" w:rsidRPr="0024572B">
        <w:rPr>
          <w:rFonts w:cs="Times New Roman"/>
          <w:sz w:val="22"/>
        </w:rPr>
        <w:t xml:space="preserve">García </w:t>
      </w:r>
      <w:r w:rsidR="002E796D" w:rsidRPr="0024572B">
        <w:rPr>
          <w:rFonts w:cs="Times New Roman"/>
          <w:i/>
          <w:sz w:val="22"/>
        </w:rPr>
        <w:t>et al</w:t>
      </w:r>
      <w:r w:rsidR="002E796D" w:rsidRPr="0024572B">
        <w:rPr>
          <w:rFonts w:cs="Times New Roman"/>
          <w:sz w:val="22"/>
        </w:rPr>
        <w:t xml:space="preserve"> (2015) encontró que la inoculación de aislados bacterianos (</w:t>
      </w:r>
      <w:r w:rsidR="002E796D" w:rsidRPr="0024572B">
        <w:rPr>
          <w:rFonts w:cs="Times New Roman"/>
          <w:i/>
          <w:sz w:val="22"/>
        </w:rPr>
        <w:t>Bacillus subtilis</w:t>
      </w:r>
      <w:r w:rsidR="002E796D" w:rsidRPr="0024572B">
        <w:rPr>
          <w:rFonts w:cs="Times New Roman"/>
          <w:sz w:val="22"/>
        </w:rPr>
        <w:t xml:space="preserve">, </w:t>
      </w:r>
      <w:r w:rsidR="002E796D" w:rsidRPr="0024572B">
        <w:rPr>
          <w:rFonts w:cs="Times New Roman"/>
          <w:i/>
          <w:sz w:val="22"/>
        </w:rPr>
        <w:t>Bacillus amyloliquefaciens</w:t>
      </w:r>
      <w:r w:rsidR="002E796D" w:rsidRPr="0024572B">
        <w:rPr>
          <w:rFonts w:cs="Times New Roman"/>
          <w:sz w:val="22"/>
        </w:rPr>
        <w:t xml:space="preserve">) solubilizadores de fosforo, generó diferencias significativamente superiores  a las no inoculadas, donde las inoculaciones con </w:t>
      </w:r>
      <w:r w:rsidR="002E796D" w:rsidRPr="0024572B">
        <w:rPr>
          <w:rFonts w:cs="Times New Roman"/>
          <w:i/>
          <w:sz w:val="22"/>
        </w:rPr>
        <w:t xml:space="preserve">B. amiloliquefaciens </w:t>
      </w:r>
      <w:r w:rsidR="002E796D" w:rsidRPr="0024572B">
        <w:rPr>
          <w:rFonts w:cs="Times New Roman"/>
          <w:sz w:val="22"/>
        </w:rPr>
        <w:t>produjeron plantas con mayor peso fresco y seco en raíz.</w:t>
      </w:r>
    </w:p>
    <w:p w:rsidR="0024572B" w:rsidRPr="009829EB" w:rsidRDefault="0024572B" w:rsidP="00654F89">
      <w:pPr>
        <w:spacing w:after="0" w:line="360" w:lineRule="auto"/>
        <w:jc w:val="both"/>
        <w:rPr>
          <w:rFonts w:cs="Times New Roman"/>
          <w:sz w:val="22"/>
        </w:rPr>
      </w:pPr>
      <w:r w:rsidRPr="0024572B">
        <w:rPr>
          <w:rFonts w:cs="Times New Roman"/>
          <w:sz w:val="22"/>
        </w:rPr>
        <w:t>Con la aplicación solo de bacterias (BSF), la cepa FB12 mostró ser la mejor estadísticamente con 16 gr promedio, superando así a T0 (4 gr) y al</w:t>
      </w:r>
      <w:r w:rsidR="00C2483E">
        <w:rPr>
          <w:rFonts w:cs="Times New Roman"/>
          <w:sz w:val="22"/>
        </w:rPr>
        <w:t xml:space="preserve"> testigo comercial T33 (Biobac)</w:t>
      </w:r>
      <w:r w:rsidRPr="0024572B">
        <w:rPr>
          <w:rFonts w:cs="Times New Roman"/>
          <w:sz w:val="22"/>
        </w:rPr>
        <w:t xml:space="preserve"> que registró 10gr. (Figura </w:t>
      </w:r>
      <w:r w:rsidR="0025450D">
        <w:rPr>
          <w:rFonts w:cs="Times New Roman"/>
          <w:sz w:val="22"/>
        </w:rPr>
        <w:t>12</w:t>
      </w:r>
      <w:r w:rsidRPr="0024572B">
        <w:rPr>
          <w:rFonts w:cs="Times New Roman"/>
          <w:sz w:val="22"/>
        </w:rPr>
        <w:t>). De igual manera, se observó que los tratamientos con adición de RF prese</w:t>
      </w:r>
      <w:r w:rsidR="000955E4">
        <w:rPr>
          <w:rFonts w:cs="Times New Roman"/>
          <w:sz w:val="22"/>
        </w:rPr>
        <w:t>ntaron como mejores</w:t>
      </w:r>
      <w:r w:rsidRPr="0024572B">
        <w:rPr>
          <w:rFonts w:cs="Times New Roman"/>
          <w:sz w:val="22"/>
        </w:rPr>
        <w:t xml:space="preserve"> a las cepas FB2 (15 gr), FB4 (17 gr), FB5 (14 gr), FB6(15 gr), FB7 (15 gr), FB10(17 gr), FB11(17 gr) , FB12(18</w:t>
      </w:r>
      <w:r w:rsidR="00C2483E">
        <w:rPr>
          <w:rFonts w:cs="Times New Roman"/>
          <w:sz w:val="22"/>
        </w:rPr>
        <w:t xml:space="preserve"> gr</w:t>
      </w:r>
      <w:r w:rsidRPr="0024572B">
        <w:rPr>
          <w:rFonts w:cs="Times New Roman"/>
          <w:sz w:val="22"/>
        </w:rPr>
        <w:t>), FB13(15</w:t>
      </w:r>
      <w:r w:rsidR="00C2483E">
        <w:rPr>
          <w:rFonts w:cs="Times New Roman"/>
          <w:sz w:val="22"/>
        </w:rPr>
        <w:t xml:space="preserve"> gr</w:t>
      </w:r>
      <w:r w:rsidRPr="0024572B">
        <w:rPr>
          <w:rFonts w:cs="Times New Roman"/>
          <w:sz w:val="22"/>
        </w:rPr>
        <w:t>) y FB15(13</w:t>
      </w:r>
      <w:r w:rsidR="00C2483E">
        <w:rPr>
          <w:rFonts w:cs="Times New Roman"/>
          <w:sz w:val="22"/>
        </w:rPr>
        <w:t xml:space="preserve"> gr</w:t>
      </w:r>
      <w:r w:rsidRPr="0024572B">
        <w:rPr>
          <w:rFonts w:cs="Times New Roman"/>
          <w:sz w:val="22"/>
        </w:rPr>
        <w:t>) en relación al testigo comercial (10 gr) y superaron de gran manera al testigo absoluto (7 gr) que presento los pesos de raíz más bajos junto a FB9.</w:t>
      </w:r>
      <w:r w:rsidRPr="0024572B">
        <w:rPr>
          <w:rFonts w:ascii="Verdana" w:hAnsi="Verdana"/>
          <w:color w:val="000000"/>
          <w:sz w:val="22"/>
          <w:shd w:val="clear" w:color="auto" w:fill="FFFFFF"/>
        </w:rPr>
        <w:t xml:space="preserve"> </w:t>
      </w:r>
    </w:p>
    <w:p w:rsidR="0024572B" w:rsidRDefault="0024572B" w:rsidP="00654F89">
      <w:pPr>
        <w:spacing w:after="0" w:line="360" w:lineRule="auto"/>
        <w:jc w:val="both"/>
        <w:rPr>
          <w:rFonts w:cs="Times New Roman"/>
          <w:b/>
          <w:sz w:val="22"/>
          <w:lang w:eastAsia="es-ES"/>
        </w:rPr>
      </w:pPr>
    </w:p>
    <w:p w:rsidR="0024572B" w:rsidRDefault="0024572B" w:rsidP="0024572B">
      <w:pPr>
        <w:pStyle w:val="Descripcin"/>
        <w:rPr>
          <w:rFonts w:cs="Times New Roman"/>
          <w:i w:val="0"/>
          <w:color w:val="auto"/>
          <w:sz w:val="22"/>
          <w:szCs w:val="22"/>
        </w:rPr>
      </w:pPr>
      <w:bookmarkStart w:id="39" w:name="_Toc103543027"/>
      <w:bookmarkStart w:id="40" w:name="_Toc105619730"/>
      <w:r w:rsidRPr="00456F54">
        <w:rPr>
          <w:rFonts w:cs="Times New Roman"/>
          <w:b/>
          <w:i w:val="0"/>
          <w:color w:val="auto"/>
          <w:sz w:val="22"/>
          <w:szCs w:val="22"/>
        </w:rPr>
        <w:t>Figura.</w:t>
      </w:r>
      <w:r w:rsidR="009829EB">
        <w:rPr>
          <w:rFonts w:cs="Times New Roman"/>
          <w:b/>
          <w:i w:val="0"/>
          <w:color w:val="auto"/>
          <w:sz w:val="22"/>
          <w:szCs w:val="22"/>
        </w:rPr>
        <w:t xml:space="preserve"> 12</w:t>
      </w:r>
      <w:r w:rsidRPr="00456F54">
        <w:rPr>
          <w:rFonts w:cs="Times New Roman"/>
          <w:i w:val="0"/>
          <w:color w:val="auto"/>
          <w:sz w:val="22"/>
          <w:szCs w:val="22"/>
        </w:rPr>
        <w:t xml:space="preserve">    Efecto de la inoculación de aislados bacterianos sobre el peso fresco de raíz.</w:t>
      </w:r>
      <w:bookmarkEnd w:id="39"/>
      <w:bookmarkEnd w:id="40"/>
    </w:p>
    <w:p w:rsidR="0024572B" w:rsidRDefault="00005E46" w:rsidP="0024572B">
      <w:r>
        <w:rPr>
          <w:noProof/>
          <w:lang w:val="es-BO" w:eastAsia="es-BO"/>
        </w:rPr>
        <w:drawing>
          <wp:inline distT="0" distB="0" distL="0" distR="0" wp14:anchorId="7A05F875" wp14:editId="52199804">
            <wp:extent cx="2819400" cy="1828800"/>
            <wp:effectExtent l="0" t="0" r="0" b="0"/>
            <wp:docPr id="292" name="Gráfico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D4DEA" w:rsidRDefault="009D4DEA" w:rsidP="00D86843">
      <w:pPr>
        <w:spacing w:line="240" w:lineRule="auto"/>
        <w:rPr>
          <w:rFonts w:cs="Times New Roman"/>
          <w:b/>
          <w:sz w:val="22"/>
        </w:rPr>
      </w:pPr>
      <w:bookmarkStart w:id="41" w:name="_Toc100956054"/>
      <w:bookmarkStart w:id="42" w:name="_Toc103031228"/>
      <w:bookmarkStart w:id="43" w:name="_Toc103032072"/>
    </w:p>
    <w:p w:rsidR="009D4DEA" w:rsidRDefault="009D4DEA" w:rsidP="00D86843">
      <w:pPr>
        <w:spacing w:line="240" w:lineRule="auto"/>
        <w:rPr>
          <w:rFonts w:cs="Times New Roman"/>
          <w:b/>
          <w:noProof/>
          <w:sz w:val="22"/>
          <w:lang w:val="es-BO" w:eastAsia="es-BO"/>
        </w:rPr>
      </w:pPr>
      <w:r w:rsidRPr="00C4297E">
        <w:rPr>
          <w:rFonts w:cs="Times New Roman"/>
          <w:b/>
          <w:noProof/>
          <w:lang w:val="es-BO" w:eastAsia="es-BO"/>
        </w:rPr>
        <w:lastRenderedPageBreak/>
        <w:drawing>
          <wp:anchor distT="0" distB="0" distL="114300" distR="114300" simplePos="0" relativeHeight="251688960" behindDoc="0" locked="0" layoutInCell="1" allowOverlap="1" wp14:anchorId="2C26D744" wp14:editId="691D095E">
            <wp:simplePos x="0" y="0"/>
            <wp:positionH relativeFrom="column">
              <wp:posOffset>0</wp:posOffset>
            </wp:positionH>
            <wp:positionV relativeFrom="paragraph">
              <wp:posOffset>605395</wp:posOffset>
            </wp:positionV>
            <wp:extent cx="2771775" cy="1752600"/>
            <wp:effectExtent l="0" t="0" r="9525" b="0"/>
            <wp:wrapSquare wrapText="bothSides"/>
            <wp:docPr id="291" name="Gráfico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24572B" w:rsidRPr="0012174C">
        <w:rPr>
          <w:rFonts w:cs="Times New Roman"/>
          <w:b/>
          <w:sz w:val="22"/>
        </w:rPr>
        <w:t>Figura.</w:t>
      </w:r>
      <w:r w:rsidR="009829EB" w:rsidRPr="0012174C">
        <w:rPr>
          <w:rFonts w:cs="Times New Roman"/>
          <w:b/>
          <w:sz w:val="22"/>
        </w:rPr>
        <w:t xml:space="preserve"> 13</w:t>
      </w:r>
      <w:r w:rsidR="0024572B" w:rsidRPr="0012174C">
        <w:rPr>
          <w:rFonts w:cs="Times New Roman"/>
          <w:sz w:val="22"/>
        </w:rPr>
        <w:t xml:space="preserve">    Efecto de la inoculación de aislados bacterianos y la aplicación de roca fosfórica sobre el peso fresco de raíz</w:t>
      </w:r>
      <w:r w:rsidR="0024572B" w:rsidRPr="0012174C">
        <w:rPr>
          <w:rFonts w:cs="Times New Roman"/>
          <w:b/>
          <w:noProof/>
          <w:sz w:val="22"/>
          <w:lang w:val="es-BO" w:eastAsia="es-BO"/>
        </w:rPr>
        <w:t xml:space="preserve"> </w:t>
      </w:r>
      <w:bookmarkStart w:id="44" w:name="_Toc103543029"/>
      <w:bookmarkStart w:id="45" w:name="_Toc105619732"/>
      <w:bookmarkEnd w:id="41"/>
      <w:bookmarkEnd w:id="42"/>
      <w:bookmarkEnd w:id="43"/>
    </w:p>
    <w:p w:rsidR="00654F89" w:rsidRPr="000955E4" w:rsidRDefault="00654F89" w:rsidP="00D86843">
      <w:pPr>
        <w:spacing w:line="240" w:lineRule="auto"/>
        <w:rPr>
          <w:rFonts w:cs="Times New Roman"/>
          <w:b/>
          <w:noProof/>
          <w:sz w:val="22"/>
          <w:lang w:val="es-BO" w:eastAsia="es-BO"/>
        </w:rPr>
      </w:pPr>
    </w:p>
    <w:p w:rsidR="0024572B" w:rsidRDefault="0024572B" w:rsidP="00B72299">
      <w:pPr>
        <w:pStyle w:val="Descripcin"/>
        <w:spacing w:before="240"/>
        <w:rPr>
          <w:rFonts w:cs="Times New Roman"/>
          <w:i w:val="0"/>
          <w:color w:val="auto"/>
          <w:sz w:val="22"/>
          <w:szCs w:val="22"/>
        </w:rPr>
      </w:pPr>
      <w:r w:rsidRPr="00C4297E">
        <w:rPr>
          <w:rFonts w:cs="Times New Roman"/>
          <w:b/>
          <w:i w:val="0"/>
          <w:color w:val="auto"/>
          <w:sz w:val="22"/>
          <w:szCs w:val="22"/>
        </w:rPr>
        <w:t>Figura.</w:t>
      </w:r>
      <w:r w:rsidR="009829EB">
        <w:rPr>
          <w:rFonts w:cs="Times New Roman"/>
          <w:b/>
          <w:i w:val="0"/>
          <w:color w:val="auto"/>
          <w:sz w:val="22"/>
          <w:szCs w:val="22"/>
        </w:rPr>
        <w:t xml:space="preserve"> 14</w:t>
      </w:r>
      <w:r w:rsidRPr="00C4297E">
        <w:rPr>
          <w:rFonts w:cs="Times New Roman"/>
          <w:i w:val="0"/>
          <w:color w:val="auto"/>
          <w:sz w:val="22"/>
          <w:szCs w:val="22"/>
        </w:rPr>
        <w:t xml:space="preserve">   </w:t>
      </w:r>
      <w:r w:rsidR="009A0B83">
        <w:rPr>
          <w:rFonts w:cs="Times New Roman"/>
          <w:i w:val="0"/>
          <w:color w:val="auto"/>
          <w:sz w:val="22"/>
          <w:szCs w:val="22"/>
        </w:rPr>
        <w:t>Efecto de la aplicación de roca</w:t>
      </w:r>
      <w:r w:rsidR="000955E4">
        <w:rPr>
          <w:rFonts w:cs="Times New Roman"/>
          <w:i w:val="0"/>
          <w:color w:val="auto"/>
          <w:sz w:val="22"/>
          <w:szCs w:val="22"/>
        </w:rPr>
        <w:t xml:space="preserve"> </w:t>
      </w:r>
      <w:r w:rsidRPr="00C4297E">
        <w:rPr>
          <w:rFonts w:cs="Times New Roman"/>
          <w:i w:val="0"/>
          <w:color w:val="auto"/>
          <w:sz w:val="22"/>
          <w:szCs w:val="22"/>
        </w:rPr>
        <w:t>fosfórica sobre el peso fresco de raíz.</w:t>
      </w:r>
      <w:bookmarkEnd w:id="44"/>
      <w:bookmarkEnd w:id="45"/>
    </w:p>
    <w:p w:rsidR="00C46640" w:rsidRPr="00654F89" w:rsidRDefault="00B72299" w:rsidP="00654F89">
      <w:r>
        <w:rPr>
          <w:noProof/>
          <w:lang w:val="es-BO" w:eastAsia="es-BO"/>
        </w:rPr>
        <w:drawing>
          <wp:inline distT="0" distB="0" distL="0" distR="0" wp14:anchorId="077C4B94" wp14:editId="466C172D">
            <wp:extent cx="2760980" cy="1529861"/>
            <wp:effectExtent l="0" t="0" r="1270" b="13335"/>
            <wp:docPr id="262" name="Gráfico 26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733B9" w:rsidRPr="004158CE" w:rsidRDefault="00A733B9" w:rsidP="00A733B9">
      <w:pPr>
        <w:spacing w:after="0" w:line="276" w:lineRule="auto"/>
        <w:jc w:val="both"/>
        <w:rPr>
          <w:rFonts w:cs="Times New Roman"/>
          <w:b/>
          <w:sz w:val="28"/>
          <w:szCs w:val="28"/>
          <w:lang w:eastAsia="es-ES"/>
        </w:rPr>
      </w:pPr>
      <w:r w:rsidRPr="004158CE">
        <w:rPr>
          <w:rFonts w:cs="Times New Roman"/>
          <w:b/>
          <w:sz w:val="28"/>
          <w:szCs w:val="28"/>
          <w:lang w:eastAsia="es-ES"/>
        </w:rPr>
        <w:t>Conclusiones</w:t>
      </w:r>
    </w:p>
    <w:p w:rsidR="00A733B9" w:rsidRPr="002A2752" w:rsidRDefault="00A733B9" w:rsidP="00654F89">
      <w:pPr>
        <w:spacing w:after="0" w:line="360" w:lineRule="auto"/>
        <w:jc w:val="both"/>
        <w:rPr>
          <w:rFonts w:cs="Times New Roman"/>
          <w:sz w:val="22"/>
          <w:lang w:eastAsia="es-ES"/>
        </w:rPr>
      </w:pPr>
      <w:r w:rsidRPr="002A2752">
        <w:rPr>
          <w:rFonts w:cs="Times New Roman"/>
          <w:sz w:val="22"/>
          <w:lang w:eastAsia="es-ES"/>
        </w:rPr>
        <w:t>En laboratorio:</w:t>
      </w:r>
    </w:p>
    <w:p w:rsidR="002A2752" w:rsidRDefault="00A733B9" w:rsidP="00654F89">
      <w:pPr>
        <w:spacing w:after="0" w:line="360" w:lineRule="auto"/>
        <w:jc w:val="both"/>
        <w:rPr>
          <w:rFonts w:cs="Times New Roman"/>
          <w:sz w:val="22"/>
          <w:lang w:eastAsia="es-ES"/>
        </w:rPr>
      </w:pPr>
      <w:r w:rsidRPr="002A2752">
        <w:rPr>
          <w:rFonts w:cs="Times New Roman"/>
          <w:sz w:val="22"/>
          <w:lang w:eastAsia="es-ES"/>
        </w:rPr>
        <w:t>Se aislaron 35 cepas de bacterias endófitas, a partir de raíces de tres especies forestales nativas (molle, ceibo, algarrobo), siendo 14 cepas de ceibo, 9 de molle y 12 de algarrobo.</w:t>
      </w:r>
      <w:r w:rsidR="002A2752">
        <w:rPr>
          <w:rFonts w:cs="Times New Roman"/>
          <w:sz w:val="22"/>
          <w:lang w:eastAsia="es-ES"/>
        </w:rPr>
        <w:t xml:space="preserve"> </w:t>
      </w:r>
      <w:r w:rsidRPr="002A2752">
        <w:rPr>
          <w:rFonts w:cs="Times New Roman"/>
          <w:sz w:val="22"/>
          <w:lang w:eastAsia="es-ES"/>
        </w:rPr>
        <w:t xml:space="preserve">Del total de 35 cepas bacterianas endófitas de raíces, se seleccionaron 15 cepas como posibles </w:t>
      </w:r>
      <w:r w:rsidRPr="002A2752">
        <w:rPr>
          <w:rFonts w:cs="Times New Roman"/>
          <w:i/>
          <w:sz w:val="22"/>
          <w:lang w:eastAsia="es-ES"/>
        </w:rPr>
        <w:t>Bacillus sp.</w:t>
      </w:r>
      <w:r w:rsidR="00193265">
        <w:rPr>
          <w:rFonts w:cs="Times New Roman"/>
          <w:sz w:val="22"/>
          <w:lang w:eastAsia="es-ES"/>
        </w:rPr>
        <w:t>, d</w:t>
      </w:r>
      <w:r w:rsidR="002A2752">
        <w:rPr>
          <w:rFonts w:cs="Times New Roman"/>
          <w:sz w:val="22"/>
          <w:lang w:eastAsia="es-ES"/>
        </w:rPr>
        <w:t xml:space="preserve">e las cuales </w:t>
      </w:r>
      <w:r w:rsidR="002A2752" w:rsidRPr="002A2752">
        <w:rPr>
          <w:rFonts w:cs="Times New Roman"/>
          <w:sz w:val="22"/>
          <w:lang w:eastAsia="es-ES"/>
        </w:rPr>
        <w:t>FB1, FB4, FB5, FB6, FB7, F10, FB12 y FB13</w:t>
      </w:r>
      <w:r w:rsidR="002A2752">
        <w:rPr>
          <w:rFonts w:cs="Times New Roman"/>
          <w:sz w:val="22"/>
          <w:lang w:eastAsia="es-ES"/>
        </w:rPr>
        <w:t xml:space="preserve">, mostraron capacidad de solubilizar fosfatos en las pruebas </w:t>
      </w:r>
      <w:r w:rsidR="002A2752" w:rsidRPr="002A2752">
        <w:rPr>
          <w:rFonts w:cs="Times New Roman"/>
          <w:i/>
          <w:sz w:val="22"/>
          <w:lang w:eastAsia="es-ES"/>
        </w:rPr>
        <w:t>in vitro</w:t>
      </w:r>
      <w:r w:rsidR="002A2752" w:rsidRPr="002A2752">
        <w:rPr>
          <w:rFonts w:cs="Times New Roman"/>
          <w:sz w:val="22"/>
          <w:lang w:eastAsia="es-ES"/>
        </w:rPr>
        <w:t>.</w:t>
      </w:r>
      <w:r w:rsidR="002A2752">
        <w:rPr>
          <w:rFonts w:cs="Times New Roman"/>
          <w:sz w:val="22"/>
          <w:lang w:eastAsia="es-ES"/>
        </w:rPr>
        <w:t xml:space="preserve"> </w:t>
      </w:r>
    </w:p>
    <w:p w:rsidR="00A733B9" w:rsidRPr="002A2752" w:rsidRDefault="00A733B9" w:rsidP="00654F89">
      <w:pPr>
        <w:spacing w:after="0" w:line="360" w:lineRule="auto"/>
        <w:jc w:val="both"/>
        <w:rPr>
          <w:rFonts w:cs="Times New Roman"/>
          <w:i/>
          <w:sz w:val="22"/>
          <w:lang w:eastAsia="es-ES"/>
        </w:rPr>
      </w:pPr>
      <w:r w:rsidRPr="002A2752">
        <w:rPr>
          <w:rFonts w:cs="Times New Roman"/>
          <w:sz w:val="22"/>
          <w:lang w:eastAsia="es-ES"/>
        </w:rPr>
        <w:t>En invernadero:</w:t>
      </w:r>
    </w:p>
    <w:p w:rsidR="002A2752" w:rsidRPr="004158CE" w:rsidRDefault="00A733B9" w:rsidP="00654F89">
      <w:pPr>
        <w:spacing w:after="0" w:line="360" w:lineRule="auto"/>
        <w:jc w:val="both"/>
        <w:rPr>
          <w:rFonts w:cs="Times New Roman"/>
          <w:sz w:val="22"/>
          <w:lang w:eastAsia="es-ES"/>
        </w:rPr>
      </w:pPr>
      <w:r w:rsidRPr="002A2752">
        <w:rPr>
          <w:rFonts w:cs="Times New Roman"/>
          <w:sz w:val="22"/>
          <w:lang w:eastAsia="es-ES"/>
        </w:rPr>
        <w:t xml:space="preserve">En función a las variables de respuesta evaluadas, se encontró que en la mayoría de los casos, los </w:t>
      </w:r>
      <w:r w:rsidRPr="002A2752">
        <w:rPr>
          <w:rFonts w:cs="Times New Roman"/>
          <w:sz w:val="22"/>
          <w:lang w:eastAsia="es-ES"/>
        </w:rPr>
        <w:lastRenderedPageBreak/>
        <w:t>mejores tratamientos fueron aquellos donde se aplicó bacterias (BSF)</w:t>
      </w:r>
      <w:r w:rsidR="00193265">
        <w:rPr>
          <w:rFonts w:cs="Times New Roman"/>
          <w:sz w:val="22"/>
          <w:lang w:eastAsia="es-ES"/>
        </w:rPr>
        <w:t xml:space="preserve"> combinadas con  roca fosfórica. </w:t>
      </w:r>
      <w:r w:rsidRPr="004158CE">
        <w:rPr>
          <w:rFonts w:cs="Times New Roman"/>
          <w:sz w:val="22"/>
          <w:lang w:eastAsia="es-ES"/>
        </w:rPr>
        <w:t>La aplicación de cepas bacterianas y roca fosfórica tuvo efectos positivos en la altura de planta, donde FB12 y FB5</w:t>
      </w:r>
      <w:r w:rsidR="00193265">
        <w:rPr>
          <w:rFonts w:cs="Times New Roman"/>
          <w:sz w:val="22"/>
          <w:lang w:eastAsia="es-ES"/>
        </w:rPr>
        <w:t xml:space="preserve"> fueron las mejores</w:t>
      </w:r>
      <w:r w:rsidRPr="004158CE">
        <w:rPr>
          <w:rFonts w:cs="Times New Roman"/>
          <w:sz w:val="22"/>
          <w:lang w:eastAsia="es-ES"/>
        </w:rPr>
        <w:t>.</w:t>
      </w:r>
      <w:r w:rsidR="00193265">
        <w:rPr>
          <w:rFonts w:cs="Times New Roman"/>
          <w:sz w:val="22"/>
          <w:lang w:eastAsia="es-ES"/>
        </w:rPr>
        <w:t xml:space="preserve"> </w:t>
      </w:r>
      <w:r w:rsidRPr="004158CE">
        <w:rPr>
          <w:rFonts w:cs="Times New Roman"/>
          <w:sz w:val="22"/>
          <w:lang w:eastAsia="es-ES"/>
        </w:rPr>
        <w:t xml:space="preserve">En el caso del peso del follaje, la cepa FB12 y el testigo comercial (Biobac), obtuvieron los </w:t>
      </w:r>
      <w:r w:rsidR="00193265">
        <w:rPr>
          <w:rFonts w:cs="Times New Roman"/>
          <w:sz w:val="22"/>
          <w:lang w:eastAsia="es-ES"/>
        </w:rPr>
        <w:t>pesos más altos,</w:t>
      </w:r>
      <w:r w:rsidRPr="004158CE">
        <w:rPr>
          <w:rFonts w:cs="Times New Roman"/>
          <w:sz w:val="22"/>
          <w:lang w:eastAsia="es-ES"/>
        </w:rPr>
        <w:t xml:space="preserve"> en materi</w:t>
      </w:r>
      <w:r w:rsidR="00193265">
        <w:rPr>
          <w:rFonts w:cs="Times New Roman"/>
          <w:sz w:val="22"/>
          <w:lang w:eastAsia="es-ES"/>
        </w:rPr>
        <w:t>a fresca y</w:t>
      </w:r>
      <w:r w:rsidR="004158CE">
        <w:rPr>
          <w:rFonts w:cs="Times New Roman"/>
          <w:sz w:val="22"/>
          <w:lang w:eastAsia="es-ES"/>
        </w:rPr>
        <w:t xml:space="preserve"> en materia seca. E</w:t>
      </w:r>
      <w:r w:rsidRPr="004158CE">
        <w:rPr>
          <w:rFonts w:cs="Times New Roman"/>
          <w:sz w:val="22"/>
          <w:lang w:eastAsia="es-ES"/>
        </w:rPr>
        <w:t>n general la aplicación de roca fosfóric</w:t>
      </w:r>
      <w:r w:rsidR="00193265">
        <w:rPr>
          <w:rFonts w:cs="Times New Roman"/>
          <w:sz w:val="22"/>
          <w:lang w:eastAsia="es-ES"/>
        </w:rPr>
        <w:t>a y cepas bacterianas incrementó</w:t>
      </w:r>
      <w:r w:rsidRPr="004158CE">
        <w:rPr>
          <w:rFonts w:cs="Times New Roman"/>
          <w:sz w:val="22"/>
          <w:lang w:eastAsia="es-ES"/>
        </w:rPr>
        <w:t xml:space="preserve"> el peso de follaje en relación al testigo absoluto.</w:t>
      </w:r>
      <w:r w:rsidR="004158CE">
        <w:rPr>
          <w:rFonts w:cs="Times New Roman"/>
          <w:sz w:val="22"/>
          <w:lang w:eastAsia="es-ES"/>
        </w:rPr>
        <w:t xml:space="preserve"> </w:t>
      </w:r>
      <w:r w:rsidR="002A2752" w:rsidRPr="004158CE">
        <w:rPr>
          <w:rFonts w:cs="Times New Roman"/>
          <w:sz w:val="22"/>
          <w:lang w:eastAsia="es-ES"/>
        </w:rPr>
        <w:t xml:space="preserve">Sobre el desarrollo radicular, la longitud y peso se vieron influenciados por la aplicación de </w:t>
      </w:r>
      <w:r w:rsidR="00193265">
        <w:rPr>
          <w:rFonts w:cs="Times New Roman"/>
          <w:sz w:val="22"/>
          <w:lang w:eastAsia="es-ES"/>
        </w:rPr>
        <w:t>bacterias</w:t>
      </w:r>
      <w:r w:rsidR="002A2752" w:rsidRPr="004158CE">
        <w:rPr>
          <w:rFonts w:cs="Times New Roman"/>
          <w:sz w:val="22"/>
          <w:lang w:eastAsia="es-ES"/>
        </w:rPr>
        <w:t xml:space="preserve"> y roca fosfóric</w:t>
      </w:r>
      <w:r w:rsidR="00193265">
        <w:rPr>
          <w:rFonts w:cs="Times New Roman"/>
          <w:sz w:val="22"/>
          <w:lang w:eastAsia="es-ES"/>
        </w:rPr>
        <w:t>a. Las cepas que promovieron</w:t>
      </w:r>
      <w:r w:rsidR="002A2752" w:rsidRPr="004158CE">
        <w:rPr>
          <w:rFonts w:cs="Times New Roman"/>
          <w:sz w:val="22"/>
          <w:lang w:eastAsia="es-ES"/>
        </w:rPr>
        <w:t xml:space="preserve"> mayor longitud fueron FB1, FB9 y FB12, en cuanto al peso de raíz FB2, FB4, FB5, FB6, FB7, FB10, FB11, FB12, FB13 y FB15 obtuvieron pesos más altos.  </w:t>
      </w:r>
    </w:p>
    <w:p w:rsidR="004158CE" w:rsidRPr="00231DD9" w:rsidRDefault="002A2752" w:rsidP="00231DD9">
      <w:pPr>
        <w:spacing w:after="0" w:line="360" w:lineRule="auto"/>
        <w:jc w:val="both"/>
        <w:rPr>
          <w:rFonts w:cs="Times New Roman"/>
          <w:sz w:val="22"/>
          <w:lang w:eastAsia="es-ES"/>
        </w:rPr>
      </w:pPr>
      <w:r w:rsidRPr="004158CE">
        <w:rPr>
          <w:rFonts w:cs="Times New Roman"/>
          <w:sz w:val="22"/>
          <w:lang w:eastAsia="es-ES"/>
        </w:rPr>
        <w:t>En función a los ensayos realizados</w:t>
      </w:r>
      <w:r w:rsidR="00193265">
        <w:rPr>
          <w:rFonts w:cs="Times New Roman"/>
          <w:sz w:val="22"/>
          <w:lang w:eastAsia="es-ES"/>
        </w:rPr>
        <w:t xml:space="preserve"> en invernadero, </w:t>
      </w:r>
      <w:r w:rsidRPr="004158CE">
        <w:rPr>
          <w:rFonts w:cs="Times New Roman"/>
          <w:sz w:val="22"/>
          <w:lang w:eastAsia="es-ES"/>
        </w:rPr>
        <w:t xml:space="preserve">en general la </w:t>
      </w:r>
      <w:r w:rsidR="00193265">
        <w:rPr>
          <w:rFonts w:cs="Times New Roman"/>
          <w:sz w:val="22"/>
          <w:lang w:eastAsia="es-ES"/>
        </w:rPr>
        <w:t xml:space="preserve">aplicación de cepas </w:t>
      </w:r>
      <w:r w:rsidRPr="004158CE">
        <w:rPr>
          <w:rFonts w:cs="Times New Roman"/>
          <w:sz w:val="22"/>
          <w:lang w:eastAsia="es-ES"/>
        </w:rPr>
        <w:t>beneficio el desarrollo de las variables evaluadas</w:t>
      </w:r>
      <w:r w:rsidR="00C95D0A">
        <w:rPr>
          <w:rFonts w:cs="Times New Roman"/>
          <w:sz w:val="22"/>
          <w:lang w:eastAsia="es-ES"/>
        </w:rPr>
        <w:t xml:space="preserve"> bajo condiciones de estudio</w:t>
      </w:r>
      <w:r w:rsidRPr="004158CE">
        <w:rPr>
          <w:rFonts w:cs="Times New Roman"/>
          <w:sz w:val="22"/>
          <w:lang w:eastAsia="es-ES"/>
        </w:rPr>
        <w:t>.</w:t>
      </w:r>
    </w:p>
    <w:p w:rsidR="004158CE" w:rsidRPr="00231DD9" w:rsidRDefault="00231DD9" w:rsidP="00231DD9">
      <w:pPr>
        <w:pStyle w:val="Prrafodelista"/>
        <w:numPr>
          <w:ilvl w:val="0"/>
          <w:numId w:val="4"/>
        </w:numPr>
        <w:spacing w:after="0" w:line="276" w:lineRule="auto"/>
        <w:jc w:val="both"/>
        <w:rPr>
          <w:rStyle w:val="Ttulo1Car"/>
          <w:color w:val="000000" w:themeColor="text1"/>
          <w:sz w:val="24"/>
          <w:szCs w:val="24"/>
        </w:rPr>
      </w:pPr>
      <w:r w:rsidRPr="00231DD9">
        <w:rPr>
          <w:rStyle w:val="Ttulo1Car"/>
          <w:color w:val="000000" w:themeColor="text1"/>
          <w:sz w:val="24"/>
          <w:szCs w:val="24"/>
        </w:rPr>
        <w:t>REFERENCIAS BIBLIOGRÁFICAS</w:t>
      </w:r>
    </w:p>
    <w:p w:rsidR="004158CE" w:rsidRPr="004158CE" w:rsidRDefault="004158CE" w:rsidP="004158CE">
      <w:pPr>
        <w:spacing w:line="276" w:lineRule="auto"/>
        <w:ind w:left="397" w:hanging="397"/>
        <w:jc w:val="both"/>
        <w:rPr>
          <w:rFonts w:cs="Times New Roman"/>
          <w:sz w:val="22"/>
        </w:rPr>
      </w:pPr>
      <w:r w:rsidRPr="004158CE">
        <w:rPr>
          <w:rFonts w:cs="Times New Roman"/>
          <w:sz w:val="22"/>
        </w:rPr>
        <w:t xml:space="preserve">Arcand, M. y Schneider, K. </w:t>
      </w:r>
      <w:r w:rsidR="00231DD9">
        <w:rPr>
          <w:rFonts w:cs="Times New Roman"/>
          <w:sz w:val="22"/>
        </w:rPr>
        <w:t>(</w:t>
      </w:r>
      <w:r w:rsidRPr="004158CE">
        <w:rPr>
          <w:rFonts w:cs="Times New Roman"/>
          <w:sz w:val="22"/>
        </w:rPr>
        <w:t>2006</w:t>
      </w:r>
      <w:r w:rsidR="00231DD9">
        <w:rPr>
          <w:rFonts w:cs="Times New Roman"/>
          <w:sz w:val="22"/>
        </w:rPr>
        <w:t>)</w:t>
      </w:r>
      <w:r w:rsidRPr="004158CE">
        <w:rPr>
          <w:rFonts w:cs="Times New Roman"/>
          <w:sz w:val="22"/>
        </w:rPr>
        <w:t xml:space="preserve">. </w:t>
      </w:r>
      <w:r w:rsidRPr="00231DD9">
        <w:rPr>
          <w:rFonts w:cs="Times New Roman"/>
          <w:i/>
          <w:sz w:val="22"/>
        </w:rPr>
        <w:t>Plant and microbial-based mechanisms to improve the agronomic effectiveness of phosphate rock</w:t>
      </w:r>
      <w:r w:rsidRPr="004158CE">
        <w:rPr>
          <w:rFonts w:cs="Times New Roman"/>
          <w:sz w:val="22"/>
        </w:rPr>
        <w:t>: a review. Ann. Acad. Bras. Cienc. 78:791 - 807.</w:t>
      </w:r>
    </w:p>
    <w:p w:rsidR="004158CE" w:rsidRPr="004158CE" w:rsidRDefault="004158CE" w:rsidP="004158CE">
      <w:pPr>
        <w:spacing w:line="276" w:lineRule="auto"/>
        <w:ind w:left="397" w:hanging="397"/>
        <w:jc w:val="both"/>
        <w:rPr>
          <w:rFonts w:cs="Times New Roman"/>
          <w:sz w:val="22"/>
        </w:rPr>
      </w:pPr>
      <w:r w:rsidRPr="004158CE">
        <w:rPr>
          <w:rFonts w:cs="Times New Roman"/>
          <w:sz w:val="22"/>
        </w:rPr>
        <w:t>Barquero, L., Campos, S., Tobar, M., Guerrero, A., Sánchez, J., &amp; Landinez, L. (2007).  Informe de vigilancia tecnológica. Bioinsumos. Instituto Colombiano para el Desarrollo de la Ciencia y la Tecnología (COLCIENCIAS). Bogotá, Colombia</w:t>
      </w:r>
    </w:p>
    <w:p w:rsidR="004158CE" w:rsidRPr="004158CE" w:rsidRDefault="004158CE" w:rsidP="004158CE">
      <w:pPr>
        <w:spacing w:line="276" w:lineRule="auto"/>
        <w:ind w:left="397" w:hanging="397"/>
        <w:jc w:val="both"/>
        <w:rPr>
          <w:rFonts w:cs="Times New Roman"/>
          <w:color w:val="0563C1" w:themeColor="hyperlink"/>
          <w:sz w:val="22"/>
          <w:u w:val="single"/>
          <w:shd w:val="clear" w:color="auto" w:fill="FFFFFF"/>
        </w:rPr>
      </w:pPr>
      <w:r w:rsidRPr="004158CE">
        <w:rPr>
          <w:rFonts w:cs="Times New Roman"/>
          <w:color w:val="000000"/>
          <w:sz w:val="22"/>
          <w:shd w:val="clear" w:color="auto" w:fill="FFFFFF"/>
        </w:rPr>
        <w:lastRenderedPageBreak/>
        <w:t xml:space="preserve">Bhattacharyya, P; Jha, D. </w:t>
      </w:r>
      <w:r w:rsidR="00231DD9">
        <w:rPr>
          <w:rFonts w:cs="Times New Roman"/>
          <w:color w:val="000000"/>
          <w:sz w:val="22"/>
          <w:shd w:val="clear" w:color="auto" w:fill="FFFFFF"/>
        </w:rPr>
        <w:t>(</w:t>
      </w:r>
      <w:r w:rsidRPr="004158CE">
        <w:rPr>
          <w:rFonts w:cs="Times New Roman"/>
          <w:color w:val="000000"/>
          <w:sz w:val="22"/>
          <w:shd w:val="clear" w:color="auto" w:fill="FFFFFF"/>
        </w:rPr>
        <w:t>2012</w:t>
      </w:r>
      <w:r w:rsidR="00231DD9">
        <w:rPr>
          <w:rFonts w:cs="Times New Roman"/>
          <w:color w:val="000000"/>
          <w:sz w:val="22"/>
          <w:shd w:val="clear" w:color="auto" w:fill="FFFFFF"/>
        </w:rPr>
        <w:t>)</w:t>
      </w:r>
      <w:r w:rsidRPr="004158CE">
        <w:rPr>
          <w:rFonts w:cs="Times New Roman"/>
          <w:color w:val="000000"/>
          <w:sz w:val="22"/>
          <w:shd w:val="clear" w:color="auto" w:fill="FFFFFF"/>
        </w:rPr>
        <w:t xml:space="preserve">. </w:t>
      </w:r>
      <w:r w:rsidRPr="00231DD9">
        <w:rPr>
          <w:rFonts w:cs="Times New Roman"/>
          <w:i/>
          <w:color w:val="000000"/>
          <w:sz w:val="22"/>
          <w:shd w:val="clear" w:color="auto" w:fill="FFFFFF"/>
        </w:rPr>
        <w:t>Plant growth-promoting rhizobacteria (PGPR): emergence in agriculture. </w:t>
      </w:r>
      <w:r w:rsidRPr="00231DD9">
        <w:rPr>
          <w:rFonts w:cs="Times New Roman"/>
          <w:i/>
          <w:iCs/>
          <w:color w:val="000000"/>
          <w:sz w:val="22"/>
          <w:shd w:val="clear" w:color="auto" w:fill="FFFFFF"/>
        </w:rPr>
        <w:t>World J. Microbiol. Biotechnol</w:t>
      </w:r>
      <w:r w:rsidRPr="00231DD9">
        <w:rPr>
          <w:rFonts w:cs="Times New Roman"/>
          <w:i/>
          <w:color w:val="000000"/>
          <w:sz w:val="22"/>
          <w:shd w:val="clear" w:color="auto" w:fill="FFFFFF"/>
        </w:rPr>
        <w:t>.</w:t>
      </w:r>
      <w:r w:rsidRPr="004158CE">
        <w:rPr>
          <w:rFonts w:cs="Times New Roman"/>
          <w:color w:val="000000"/>
          <w:sz w:val="22"/>
          <w:shd w:val="clear" w:color="auto" w:fill="FFFFFF"/>
        </w:rPr>
        <w:t xml:space="preserve"> 28: 1327-1350</w:t>
      </w:r>
      <w:r w:rsidRPr="004158CE">
        <w:rPr>
          <w:rFonts w:cs="Times New Roman"/>
          <w:color w:val="0563C1" w:themeColor="hyperlink"/>
          <w:sz w:val="22"/>
          <w:u w:val="single"/>
          <w:shd w:val="clear" w:color="auto" w:fill="FFFFFF"/>
        </w:rPr>
        <w:t xml:space="preserve"> </w:t>
      </w:r>
    </w:p>
    <w:p w:rsidR="004158CE" w:rsidRPr="004158CE" w:rsidRDefault="004158CE" w:rsidP="004158CE">
      <w:pPr>
        <w:spacing w:line="276" w:lineRule="auto"/>
        <w:ind w:left="397" w:hanging="397"/>
        <w:jc w:val="both"/>
        <w:rPr>
          <w:rStyle w:val="Hipervnculo"/>
          <w:sz w:val="22"/>
        </w:rPr>
      </w:pPr>
      <w:r w:rsidRPr="004158CE">
        <w:rPr>
          <w:rFonts w:cs="Times New Roman"/>
          <w:sz w:val="22"/>
        </w:rPr>
        <w:t xml:space="preserve">Bobadilla, C. y Rincón, S. (2008). </w:t>
      </w:r>
      <w:r w:rsidRPr="004158CE">
        <w:rPr>
          <w:rFonts w:cs="Times New Roman"/>
          <w:i/>
          <w:sz w:val="22"/>
        </w:rPr>
        <w:t>Aislamiento y producción de bacterias fosfato solubilizadoras a partir de compost obtenido de residuos de plaza.</w:t>
      </w:r>
      <w:r w:rsidRPr="004158CE">
        <w:rPr>
          <w:rFonts w:cs="Times New Roman"/>
          <w:sz w:val="22"/>
        </w:rPr>
        <w:t xml:space="preserve"> [Tesis de grado;Pontifica Universidad Javeriana]. Colombia</w:t>
      </w:r>
    </w:p>
    <w:p w:rsidR="004158CE" w:rsidRPr="004158CE" w:rsidRDefault="004158CE" w:rsidP="004158CE">
      <w:pPr>
        <w:spacing w:line="276" w:lineRule="auto"/>
        <w:ind w:left="397" w:hanging="397"/>
        <w:jc w:val="both"/>
        <w:rPr>
          <w:rStyle w:val="Hipervnculo"/>
          <w:sz w:val="22"/>
        </w:rPr>
      </w:pPr>
      <w:r w:rsidRPr="004158CE">
        <w:rPr>
          <w:rFonts w:cs="Times New Roman"/>
          <w:spacing w:val="2"/>
          <w:sz w:val="22"/>
          <w:shd w:val="clear" w:color="auto" w:fill="FFFFFF"/>
        </w:rPr>
        <w:t xml:space="preserve">Corrales, L., Caycedo, L., Gómez, M., Ramos, S., y Rodríguez, J. (2017). </w:t>
      </w:r>
      <w:r w:rsidRPr="004158CE">
        <w:rPr>
          <w:rFonts w:cs="Times New Roman"/>
          <w:i/>
          <w:spacing w:val="2"/>
          <w:sz w:val="22"/>
          <w:shd w:val="clear" w:color="auto" w:fill="FFFFFF"/>
        </w:rPr>
        <w:t>Bacillus</w:t>
      </w:r>
      <w:r w:rsidRPr="004158CE">
        <w:rPr>
          <w:rFonts w:cs="Times New Roman"/>
          <w:spacing w:val="2"/>
          <w:sz w:val="22"/>
          <w:shd w:val="clear" w:color="auto" w:fill="FFFFFF"/>
        </w:rPr>
        <w:t xml:space="preserve"> spp: </w:t>
      </w:r>
      <w:r w:rsidRPr="004158CE">
        <w:rPr>
          <w:rFonts w:cs="Times New Roman"/>
          <w:i/>
          <w:spacing w:val="2"/>
          <w:sz w:val="22"/>
          <w:shd w:val="clear" w:color="auto" w:fill="FFFFFF"/>
        </w:rPr>
        <w:t>una alternativa para la promoción vegetal por dos caminos enzimáticos</w:t>
      </w:r>
      <w:r w:rsidRPr="004158CE">
        <w:rPr>
          <w:rFonts w:cs="Times New Roman"/>
          <w:spacing w:val="2"/>
          <w:sz w:val="22"/>
          <w:shd w:val="clear" w:color="auto" w:fill="FFFFFF"/>
        </w:rPr>
        <w:t>. </w:t>
      </w:r>
      <w:r w:rsidRPr="004158CE">
        <w:rPr>
          <w:rFonts w:cs="Times New Roman"/>
          <w:i/>
          <w:iCs/>
          <w:spacing w:val="2"/>
          <w:sz w:val="22"/>
          <w:shd w:val="clear" w:color="auto" w:fill="FFFFFF"/>
        </w:rPr>
        <w:t>NOVA</w:t>
      </w:r>
      <w:r w:rsidRPr="004158CE">
        <w:rPr>
          <w:rFonts w:cs="Times New Roman"/>
          <w:spacing w:val="2"/>
          <w:sz w:val="22"/>
          <w:shd w:val="clear" w:color="auto" w:fill="FFFFFF"/>
        </w:rPr>
        <w:t>, </w:t>
      </w:r>
      <w:r w:rsidRPr="004158CE">
        <w:rPr>
          <w:rFonts w:cs="Times New Roman"/>
          <w:i/>
          <w:iCs/>
          <w:spacing w:val="2"/>
          <w:sz w:val="22"/>
          <w:shd w:val="clear" w:color="auto" w:fill="FFFFFF"/>
        </w:rPr>
        <w:t>15</w:t>
      </w:r>
      <w:r w:rsidRPr="004158CE">
        <w:rPr>
          <w:rFonts w:cs="Times New Roman"/>
          <w:spacing w:val="2"/>
          <w:sz w:val="22"/>
          <w:shd w:val="clear" w:color="auto" w:fill="FFFFFF"/>
        </w:rPr>
        <w:t>(27), 45 - 65. </w:t>
      </w:r>
    </w:p>
    <w:p w:rsidR="004158CE" w:rsidRPr="004158CE" w:rsidRDefault="004158CE" w:rsidP="004158CE">
      <w:pPr>
        <w:spacing w:line="276" w:lineRule="auto"/>
        <w:ind w:left="454" w:hanging="454"/>
        <w:jc w:val="both"/>
        <w:rPr>
          <w:rFonts w:cs="Times New Roman"/>
          <w:sz w:val="22"/>
        </w:rPr>
      </w:pPr>
      <w:r w:rsidRPr="004158CE">
        <w:rPr>
          <w:rFonts w:cs="Times New Roman"/>
          <w:sz w:val="22"/>
          <w:lang w:val="de-DE"/>
        </w:rPr>
        <w:t xml:space="preserve">Chen,Y., Rekha, P., Arun A., Shen, F., Lai, W. y Young, C. (2006). </w:t>
      </w:r>
      <w:r w:rsidRPr="004158CE">
        <w:rPr>
          <w:rFonts w:cs="Times New Roman"/>
          <w:i/>
          <w:sz w:val="22"/>
          <w:lang w:val="de-DE"/>
        </w:rPr>
        <w:t xml:space="preserve">Phosphate solubilizing bacteria from subtropical soil and their tricalcium phosphate solubilizing abilities. </w:t>
      </w:r>
      <w:r w:rsidRPr="00231DD9">
        <w:rPr>
          <w:rFonts w:cs="Times New Roman"/>
          <w:sz w:val="22"/>
        </w:rPr>
        <w:t>Applied Soil Ecology</w:t>
      </w:r>
      <w:r w:rsidRPr="004158CE">
        <w:rPr>
          <w:rFonts w:cs="Times New Roman"/>
          <w:i/>
          <w:sz w:val="22"/>
        </w:rPr>
        <w:t>.</w:t>
      </w:r>
      <w:r w:rsidRPr="004158CE">
        <w:rPr>
          <w:rFonts w:cs="Times New Roman"/>
          <w:sz w:val="22"/>
        </w:rPr>
        <w:t xml:space="preserve"> 2006;(34):33-41.</w:t>
      </w:r>
    </w:p>
    <w:p w:rsidR="004158CE" w:rsidRPr="004158CE" w:rsidRDefault="004158CE" w:rsidP="004158CE">
      <w:pPr>
        <w:spacing w:line="276" w:lineRule="auto"/>
        <w:ind w:left="397" w:hanging="397"/>
        <w:jc w:val="both"/>
        <w:rPr>
          <w:rFonts w:cs="Times New Roman"/>
          <w:sz w:val="22"/>
        </w:rPr>
      </w:pPr>
      <w:r w:rsidRPr="004158CE">
        <w:rPr>
          <w:rFonts w:cs="Times New Roman"/>
          <w:sz w:val="22"/>
        </w:rPr>
        <w:t>Claros, M. y Ortuño, N. (2016). Manual de laboratorio agrícola. Fundación PROINPA. Cochabamba, Bolivia. 76 p.</w:t>
      </w:r>
    </w:p>
    <w:p w:rsidR="004158CE" w:rsidRPr="004158CE" w:rsidRDefault="004158CE" w:rsidP="004158CE">
      <w:pPr>
        <w:spacing w:line="276" w:lineRule="auto"/>
        <w:ind w:left="397" w:hanging="397"/>
        <w:jc w:val="both"/>
        <w:rPr>
          <w:rFonts w:cs="Times New Roman"/>
          <w:sz w:val="22"/>
        </w:rPr>
      </w:pPr>
      <w:r w:rsidRPr="004158CE">
        <w:rPr>
          <w:rFonts w:cs="Times New Roman"/>
          <w:sz w:val="22"/>
        </w:rPr>
        <w:t xml:space="preserve">Ferrufino, N. (2019). </w:t>
      </w:r>
      <w:r w:rsidRPr="00231DD9">
        <w:rPr>
          <w:rFonts w:cs="Times New Roman"/>
          <w:i/>
          <w:sz w:val="22"/>
        </w:rPr>
        <w:t>Aislamiento y selección de bacterias tipo Bacillus para la inducción de tolerancia a Globodera sp. en dos variedades de papa (Solanum tuberosum sp.)</w:t>
      </w:r>
      <w:r w:rsidRPr="004158CE">
        <w:rPr>
          <w:rFonts w:cs="Times New Roman"/>
          <w:sz w:val="22"/>
        </w:rPr>
        <w:t>[Tesis de Grado, Universidad Mayor de San Simon]</w:t>
      </w:r>
    </w:p>
    <w:p w:rsidR="004158CE" w:rsidRPr="004158CE" w:rsidRDefault="004158CE" w:rsidP="004158CE">
      <w:pPr>
        <w:spacing w:line="276" w:lineRule="auto"/>
        <w:ind w:left="397" w:hanging="397"/>
        <w:jc w:val="both"/>
        <w:rPr>
          <w:rFonts w:cs="Times New Roman"/>
          <w:color w:val="222222"/>
          <w:sz w:val="22"/>
          <w:shd w:val="clear" w:color="auto" w:fill="FFFFFF"/>
        </w:rPr>
      </w:pPr>
      <w:r w:rsidRPr="004158CE">
        <w:rPr>
          <w:rFonts w:cs="Times New Roman"/>
          <w:color w:val="222222"/>
          <w:sz w:val="22"/>
          <w:shd w:val="clear" w:color="auto" w:fill="FFFFFF"/>
        </w:rPr>
        <w:t xml:space="preserve">García, R., Lovaisa, N., &amp; Ulla, E. (2015). </w:t>
      </w:r>
      <w:r w:rsidRPr="00231DD9">
        <w:rPr>
          <w:rFonts w:cs="Times New Roman"/>
          <w:i/>
          <w:color w:val="222222"/>
          <w:sz w:val="22"/>
          <w:shd w:val="clear" w:color="auto" w:fill="FFFFFF"/>
        </w:rPr>
        <w:t>Aislamiento y caracterización de bacterias solubilizadoras de fosfatos del Noroeste Argentino y su efecto en la promoción de crecimiento en maíz (Zea mays L.).</w:t>
      </w:r>
      <w:r w:rsidRPr="004158CE">
        <w:rPr>
          <w:rFonts w:cs="Times New Roman"/>
          <w:color w:val="222222"/>
          <w:sz w:val="22"/>
          <w:shd w:val="clear" w:color="auto" w:fill="FFFFFF"/>
        </w:rPr>
        <w:t> </w:t>
      </w:r>
      <w:r w:rsidRPr="004158CE">
        <w:rPr>
          <w:rFonts w:cs="Times New Roman"/>
          <w:i/>
          <w:iCs/>
          <w:color w:val="222222"/>
          <w:sz w:val="22"/>
          <w:shd w:val="clear" w:color="auto" w:fill="FFFFFF"/>
        </w:rPr>
        <w:t>Revista agronómica del noroeste argentino</w:t>
      </w:r>
      <w:r w:rsidRPr="004158CE">
        <w:rPr>
          <w:rFonts w:cs="Times New Roman"/>
          <w:color w:val="222222"/>
          <w:sz w:val="22"/>
          <w:shd w:val="clear" w:color="auto" w:fill="FFFFFF"/>
        </w:rPr>
        <w:t>, </w:t>
      </w:r>
      <w:r w:rsidRPr="004158CE">
        <w:rPr>
          <w:rFonts w:cs="Times New Roman"/>
          <w:i/>
          <w:iCs/>
          <w:color w:val="222222"/>
          <w:sz w:val="22"/>
          <w:shd w:val="clear" w:color="auto" w:fill="FFFFFF"/>
        </w:rPr>
        <w:t>35</w:t>
      </w:r>
      <w:r w:rsidRPr="004158CE">
        <w:rPr>
          <w:rFonts w:cs="Times New Roman"/>
          <w:color w:val="222222"/>
          <w:sz w:val="22"/>
          <w:shd w:val="clear" w:color="auto" w:fill="FFFFFF"/>
        </w:rPr>
        <w:t>(1), 13-28.</w:t>
      </w:r>
    </w:p>
    <w:p w:rsidR="004158CE" w:rsidRPr="004158CE" w:rsidRDefault="004158CE" w:rsidP="004158CE">
      <w:pPr>
        <w:spacing w:line="276" w:lineRule="auto"/>
        <w:ind w:left="397" w:hanging="397"/>
        <w:jc w:val="both"/>
        <w:rPr>
          <w:rFonts w:cs="Times New Roman"/>
          <w:color w:val="000000" w:themeColor="text1"/>
          <w:sz w:val="22"/>
          <w:shd w:val="clear" w:color="auto" w:fill="FFFFFF"/>
        </w:rPr>
      </w:pPr>
      <w:r w:rsidRPr="004158CE">
        <w:rPr>
          <w:rFonts w:cs="Times New Roman"/>
          <w:color w:val="000000"/>
          <w:sz w:val="22"/>
          <w:shd w:val="clear" w:color="auto" w:fill="FFFFFF"/>
        </w:rPr>
        <w:t xml:space="preserve">Goldstein, A. and Krishnaraj, P. (2007) </w:t>
      </w:r>
      <w:r w:rsidRPr="00231DD9">
        <w:rPr>
          <w:rFonts w:cs="Times New Roman"/>
          <w:i/>
          <w:color w:val="000000"/>
          <w:sz w:val="22"/>
          <w:shd w:val="clear" w:color="auto" w:fill="FFFFFF"/>
        </w:rPr>
        <w:t xml:space="preserve">Phosphate solubilizing microorganisms vs. phosphate mobilizing microorganisms: what separates a phenotype from a trait? In: First International meeting on microbial </w:t>
      </w:r>
      <w:r w:rsidRPr="00231DD9">
        <w:rPr>
          <w:rFonts w:cs="Times New Roman"/>
          <w:i/>
          <w:color w:val="000000"/>
          <w:sz w:val="22"/>
          <w:shd w:val="clear" w:color="auto" w:fill="FFFFFF"/>
        </w:rPr>
        <w:lastRenderedPageBreak/>
        <w:t>phosphate solubilization:</w:t>
      </w:r>
      <w:r w:rsidRPr="004158CE">
        <w:rPr>
          <w:rFonts w:cs="Times New Roman"/>
          <w:color w:val="000000"/>
          <w:sz w:val="22"/>
          <w:shd w:val="clear" w:color="auto" w:fill="FFFFFF"/>
        </w:rPr>
        <w:t xml:space="preserve"> Springer, Dordrecht, p. 203-213..</w:t>
      </w:r>
    </w:p>
    <w:p w:rsidR="004158CE" w:rsidRPr="004158CE" w:rsidRDefault="004158CE" w:rsidP="004158CE">
      <w:pPr>
        <w:spacing w:line="276" w:lineRule="auto"/>
        <w:ind w:left="397" w:hanging="397"/>
        <w:jc w:val="both"/>
        <w:rPr>
          <w:rStyle w:val="Hipervnculo"/>
          <w:sz w:val="22"/>
        </w:rPr>
      </w:pPr>
      <w:r w:rsidRPr="004158CE">
        <w:rPr>
          <w:rFonts w:cs="Times New Roman"/>
          <w:color w:val="000000"/>
          <w:sz w:val="22"/>
        </w:rPr>
        <w:t xml:space="preserve">Lázaro, M., Velázquez, J., Vargas, J., Gómez, A., Álvarez, M., &amp; López, M. (2012). </w:t>
      </w:r>
      <w:r w:rsidRPr="004158CE">
        <w:rPr>
          <w:rFonts w:cs="Times New Roman"/>
          <w:i/>
          <w:color w:val="000000"/>
          <w:sz w:val="22"/>
        </w:rPr>
        <w:t xml:space="preserve">Fertilización con nitrógeno, fósforo y potasio en un latizal de </w:t>
      </w:r>
      <w:r w:rsidRPr="004158CE">
        <w:rPr>
          <w:rFonts w:cs="Times New Roman"/>
          <w:i/>
          <w:iCs/>
          <w:color w:val="000000"/>
          <w:sz w:val="22"/>
        </w:rPr>
        <w:t>Pinus patula</w:t>
      </w:r>
      <w:r w:rsidRPr="004158CE">
        <w:rPr>
          <w:rFonts w:cs="Times New Roman"/>
          <w:i/>
          <w:color w:val="000000"/>
          <w:sz w:val="22"/>
        </w:rPr>
        <w:t xml:space="preserve"> Schl</w:t>
      </w:r>
      <w:r w:rsidRPr="004158CE">
        <w:rPr>
          <w:rFonts w:cs="Times New Roman"/>
          <w:color w:val="000000"/>
          <w:sz w:val="22"/>
        </w:rPr>
        <w:t>. et Cham. </w:t>
      </w:r>
      <w:r w:rsidRPr="004158CE">
        <w:rPr>
          <w:rFonts w:cs="Times New Roman"/>
          <w:i/>
          <w:iCs/>
          <w:color w:val="000000"/>
          <w:sz w:val="22"/>
        </w:rPr>
        <w:t xml:space="preserve">Revista Chapingo serie </w:t>
      </w:r>
      <w:r w:rsidRPr="004158CE">
        <w:rPr>
          <w:rFonts w:cs="Times New Roman"/>
          <w:iCs/>
          <w:color w:val="000000"/>
          <w:sz w:val="22"/>
        </w:rPr>
        <w:t>ciencias</w:t>
      </w:r>
      <w:r w:rsidRPr="004158CE">
        <w:rPr>
          <w:rFonts w:cs="Times New Roman"/>
          <w:i/>
          <w:iCs/>
          <w:color w:val="000000"/>
          <w:sz w:val="22"/>
        </w:rPr>
        <w:t xml:space="preserve"> forestales y del ambiente</w:t>
      </w:r>
      <w:r w:rsidRPr="004158CE">
        <w:rPr>
          <w:rFonts w:cs="Times New Roman"/>
          <w:color w:val="000000"/>
          <w:sz w:val="22"/>
        </w:rPr>
        <w:t>, </w:t>
      </w:r>
      <w:r w:rsidRPr="004158CE">
        <w:rPr>
          <w:rFonts w:cs="Times New Roman"/>
          <w:i/>
          <w:iCs/>
          <w:color w:val="000000"/>
          <w:sz w:val="22"/>
        </w:rPr>
        <w:t>18</w:t>
      </w:r>
      <w:r w:rsidRPr="004158CE">
        <w:rPr>
          <w:rFonts w:cs="Times New Roman"/>
          <w:color w:val="000000"/>
          <w:sz w:val="22"/>
        </w:rPr>
        <w:t>(1), 33-42. </w:t>
      </w:r>
      <w:r w:rsidRPr="004158CE">
        <w:rPr>
          <w:rStyle w:val="Hipervnculo"/>
          <w:sz w:val="22"/>
        </w:rPr>
        <w:t xml:space="preserve"> </w:t>
      </w:r>
    </w:p>
    <w:p w:rsidR="004158CE" w:rsidRPr="00231DD9" w:rsidRDefault="004158CE" w:rsidP="004158CE">
      <w:pPr>
        <w:spacing w:line="276" w:lineRule="auto"/>
        <w:ind w:left="397" w:hanging="397"/>
        <w:jc w:val="both"/>
        <w:rPr>
          <w:rFonts w:cs="Times New Roman"/>
          <w:i/>
          <w:color w:val="222222"/>
          <w:sz w:val="22"/>
          <w:shd w:val="clear" w:color="auto" w:fill="FFFFFF"/>
        </w:rPr>
      </w:pPr>
      <w:r w:rsidRPr="004158CE">
        <w:rPr>
          <w:rFonts w:cs="Times New Roman"/>
          <w:color w:val="222222"/>
          <w:sz w:val="22"/>
          <w:shd w:val="clear" w:color="auto" w:fill="FFFFFF"/>
        </w:rPr>
        <w:t xml:space="preserve">Llanos, M. (2017). </w:t>
      </w:r>
      <w:r w:rsidRPr="00231DD9">
        <w:rPr>
          <w:rFonts w:cs="Times New Roman"/>
          <w:i/>
          <w:color w:val="222222"/>
          <w:sz w:val="22"/>
          <w:shd w:val="clear" w:color="auto" w:fill="FFFFFF"/>
        </w:rPr>
        <w:t>Bacterias solubilizadoras de fosfato del género bacillus en suelos de la provincia de el Collao (Puno) y su efecto en la germinación y crecimiento de quinua (Chenopodium quinoa Willd.) en condiciones de invernadero.</w:t>
      </w:r>
    </w:p>
    <w:p w:rsidR="003A3753" w:rsidRPr="004158CE" w:rsidRDefault="003A3753" w:rsidP="004158CE">
      <w:pPr>
        <w:spacing w:line="276" w:lineRule="auto"/>
        <w:ind w:left="397" w:hanging="397"/>
        <w:jc w:val="both"/>
        <w:rPr>
          <w:rFonts w:cs="Times New Roman"/>
          <w:color w:val="222222"/>
          <w:sz w:val="22"/>
          <w:shd w:val="clear" w:color="auto" w:fill="FFFFFF"/>
        </w:rPr>
      </w:pPr>
      <w:r>
        <w:rPr>
          <w:rFonts w:cs="Times New Roman"/>
          <w:color w:val="222222"/>
          <w:sz w:val="22"/>
          <w:shd w:val="clear" w:color="auto" w:fill="FFFFFF"/>
        </w:rPr>
        <w:t xml:space="preserve">Main, G., &amp; Franco, j. (2016) </w:t>
      </w:r>
      <w:r w:rsidRPr="00231DD9">
        <w:rPr>
          <w:rFonts w:cs="Times New Roman"/>
          <w:i/>
          <w:color w:val="222222"/>
          <w:sz w:val="22"/>
          <w:shd w:val="clear" w:color="auto" w:fill="FFFFFF"/>
        </w:rPr>
        <w:t xml:space="preserve">Efecto de la bacteria Bacillus subtilis y el hongo Micorrizico Arbuscular Glomus fasciculatum en la fertilización fosfórica de la papa (Solanum tuberosum ssp. andigena). </w:t>
      </w:r>
      <w:r>
        <w:rPr>
          <w:rFonts w:cs="Times New Roman"/>
          <w:color w:val="222222"/>
          <w:sz w:val="22"/>
          <w:shd w:val="clear" w:color="auto" w:fill="FFFFFF"/>
        </w:rPr>
        <w:t>Revista Latinoamericana de la Papa, 16(2), 250-269.</w:t>
      </w:r>
    </w:p>
    <w:p w:rsidR="004158CE" w:rsidRDefault="00B57547" w:rsidP="003A3753">
      <w:pPr>
        <w:spacing w:line="276" w:lineRule="auto"/>
        <w:ind w:left="397" w:hanging="397"/>
        <w:jc w:val="both"/>
        <w:rPr>
          <w:rFonts w:cs="Times New Roman"/>
          <w:color w:val="000000"/>
          <w:sz w:val="22"/>
          <w:shd w:val="clear" w:color="auto" w:fill="FFFFFF"/>
        </w:rPr>
      </w:pPr>
      <w:r>
        <w:rPr>
          <w:rFonts w:cs="Times New Roman"/>
          <w:color w:val="000000"/>
          <w:sz w:val="22"/>
          <w:shd w:val="clear" w:color="auto" w:fill="FFFFFF"/>
        </w:rPr>
        <w:t>Menon R., Chien S. (1995</w:t>
      </w:r>
      <w:r w:rsidR="004158CE" w:rsidRPr="004158CE">
        <w:rPr>
          <w:rFonts w:cs="Times New Roman"/>
          <w:color w:val="000000"/>
          <w:sz w:val="22"/>
          <w:shd w:val="clear" w:color="auto" w:fill="FFFFFF"/>
        </w:rPr>
        <w:t xml:space="preserve">) </w:t>
      </w:r>
      <w:r w:rsidR="004158CE" w:rsidRPr="00231DD9">
        <w:rPr>
          <w:rFonts w:cs="Times New Roman"/>
          <w:i/>
          <w:color w:val="000000"/>
          <w:sz w:val="22"/>
          <w:shd w:val="clear" w:color="auto" w:fill="FFFFFF"/>
        </w:rPr>
        <w:t>Phosphorus availability to maize from partially acidulated phosphate rocks compacted with triple superphosphate. </w:t>
      </w:r>
      <w:r w:rsidR="004158CE" w:rsidRPr="00231DD9">
        <w:rPr>
          <w:rFonts w:cs="Times New Roman"/>
          <w:iCs/>
          <w:color w:val="000000"/>
          <w:sz w:val="22"/>
          <w:shd w:val="clear" w:color="auto" w:fill="FFFFFF"/>
        </w:rPr>
        <w:t>Plant Soil</w:t>
      </w:r>
      <w:r w:rsidR="004158CE" w:rsidRPr="004158CE">
        <w:rPr>
          <w:rFonts w:cs="Times New Roman"/>
          <w:i/>
          <w:iCs/>
          <w:color w:val="000000"/>
          <w:sz w:val="22"/>
          <w:shd w:val="clear" w:color="auto" w:fill="FFFFFF"/>
        </w:rPr>
        <w:t xml:space="preserve"> 127</w:t>
      </w:r>
      <w:r w:rsidR="004158CE" w:rsidRPr="004158CE">
        <w:rPr>
          <w:rFonts w:cs="Times New Roman"/>
          <w:color w:val="000000"/>
          <w:sz w:val="22"/>
          <w:shd w:val="clear" w:color="auto" w:fill="FFFFFF"/>
        </w:rPr>
        <w:t xml:space="preserve">: 123- </w:t>
      </w:r>
      <w:r w:rsidR="00FE6B5A">
        <w:rPr>
          <w:rFonts w:cs="Times New Roman"/>
          <w:color w:val="000000"/>
          <w:sz w:val="22"/>
          <w:shd w:val="clear" w:color="auto" w:fill="FFFFFF"/>
        </w:rPr>
        <w:t>128.</w:t>
      </w:r>
    </w:p>
    <w:p w:rsidR="00FE6B5A" w:rsidRPr="00FE6B5A" w:rsidRDefault="00FE6B5A" w:rsidP="00FE6B5A">
      <w:pPr>
        <w:spacing w:line="276" w:lineRule="auto"/>
        <w:ind w:left="397" w:hanging="397"/>
        <w:jc w:val="both"/>
        <w:rPr>
          <w:rFonts w:cs="Times New Roman"/>
          <w:sz w:val="22"/>
        </w:rPr>
      </w:pPr>
      <w:r w:rsidRPr="00FE6B5A">
        <w:rPr>
          <w:rFonts w:cs="Times New Roman"/>
          <w:sz w:val="22"/>
          <w:lang w:val="en-US"/>
        </w:rPr>
        <w:t>Nautiyal, SC</w:t>
      </w:r>
      <w:r w:rsidRPr="00FE6B5A">
        <w:rPr>
          <w:rFonts w:cs="Times New Roman"/>
          <w:color w:val="000000" w:themeColor="text1"/>
          <w:sz w:val="22"/>
          <w:lang w:val="en-US"/>
        </w:rPr>
        <w:t xml:space="preserve">. (1999). </w:t>
      </w:r>
      <w:r w:rsidRPr="00FE6B5A">
        <w:rPr>
          <w:rFonts w:cs="Times New Roman"/>
          <w:i/>
          <w:sz w:val="22"/>
          <w:lang w:val="en-US"/>
        </w:rPr>
        <w:t>An efficient microbiological growth medium for screening phosphate solubilizing microorganism</w:t>
      </w:r>
      <w:r w:rsidRPr="00FE6B5A">
        <w:rPr>
          <w:rFonts w:cs="Times New Roman"/>
          <w:sz w:val="22"/>
          <w:lang w:val="en-US"/>
        </w:rPr>
        <w:t xml:space="preserve">. </w:t>
      </w:r>
      <w:r w:rsidRPr="00FE6B5A">
        <w:rPr>
          <w:rFonts w:cs="Times New Roman"/>
          <w:sz w:val="22"/>
        </w:rPr>
        <w:t>FEMS Microbiology Letters 170:265- 275.</w:t>
      </w:r>
    </w:p>
    <w:p w:rsidR="004158CE" w:rsidRPr="004158CE" w:rsidRDefault="004158CE" w:rsidP="00FE6B5A">
      <w:pPr>
        <w:spacing w:line="276" w:lineRule="auto"/>
        <w:ind w:left="397" w:hanging="397"/>
        <w:jc w:val="both"/>
        <w:rPr>
          <w:rFonts w:cs="Times New Roman"/>
          <w:sz w:val="22"/>
        </w:rPr>
      </w:pPr>
      <w:r w:rsidRPr="004158CE">
        <w:rPr>
          <w:rFonts w:cs="Times New Roman"/>
          <w:sz w:val="22"/>
          <w:shd w:val="clear" w:color="auto" w:fill="FFFFFF"/>
        </w:rPr>
        <w:t>Otero Vanessa. (2011</w:t>
      </w:r>
      <w:r w:rsidRPr="00231DD9">
        <w:rPr>
          <w:rFonts w:cs="Times New Roman"/>
          <w:i/>
          <w:sz w:val="22"/>
          <w:shd w:val="clear" w:color="auto" w:fill="FFFFFF"/>
        </w:rPr>
        <w:t>) Aislamiento,  Selección  e  Identificación  de  Actinomicetos,  Bacterias  Fotosintéticas  No  Sulfuro-sas  y  Bacterias  Ácido  Lácticas  con  Potencial  Biofertilizante,  a  Partir  de  Suelos  Asociados  al  Cultivo  de  Plátano  en  la  Costa  Atlántica Colombiana</w:t>
      </w:r>
      <w:r w:rsidRPr="004158CE">
        <w:rPr>
          <w:rFonts w:cs="Times New Roman"/>
          <w:sz w:val="22"/>
          <w:shd w:val="clear" w:color="auto" w:fill="FFFFFF"/>
        </w:rPr>
        <w:t>. [Tesis de grado].Colombia.</w:t>
      </w:r>
    </w:p>
    <w:p w:rsidR="004158CE" w:rsidRPr="004158CE" w:rsidRDefault="004158CE" w:rsidP="004158CE">
      <w:pPr>
        <w:spacing w:line="276" w:lineRule="auto"/>
        <w:ind w:left="397" w:hanging="397"/>
        <w:jc w:val="both"/>
        <w:rPr>
          <w:sz w:val="22"/>
        </w:rPr>
      </w:pPr>
      <w:r w:rsidRPr="004158CE">
        <w:rPr>
          <w:rFonts w:cs="Times New Roman"/>
          <w:color w:val="000000"/>
          <w:sz w:val="22"/>
          <w:shd w:val="clear" w:color="auto" w:fill="FFFFFF"/>
        </w:rPr>
        <w:t xml:space="preserve">Patiño, C., &amp; Sanclemente, O. (2014). </w:t>
      </w:r>
      <w:r w:rsidRPr="004158CE">
        <w:rPr>
          <w:rFonts w:cs="Times New Roman"/>
          <w:i/>
          <w:color w:val="000000"/>
          <w:sz w:val="22"/>
          <w:shd w:val="clear" w:color="auto" w:fill="FFFFFF"/>
        </w:rPr>
        <w:t xml:space="preserve">Los microorganismos solubilizadores de fósforo </w:t>
      </w:r>
      <w:r w:rsidRPr="004158CE">
        <w:rPr>
          <w:rFonts w:cs="Times New Roman"/>
          <w:i/>
          <w:color w:val="000000"/>
          <w:sz w:val="22"/>
          <w:shd w:val="clear" w:color="auto" w:fill="FFFFFF"/>
        </w:rPr>
        <w:lastRenderedPageBreak/>
        <w:t>(MSF): una alternativa biotecnológica para una agricultura sostenible.</w:t>
      </w:r>
      <w:r w:rsidRPr="004158CE">
        <w:rPr>
          <w:rFonts w:cs="Times New Roman"/>
          <w:color w:val="000000"/>
          <w:sz w:val="22"/>
          <w:shd w:val="clear" w:color="auto" w:fill="FFFFFF"/>
        </w:rPr>
        <w:t xml:space="preserve"> Entramado, 10(2) ,288-297. </w:t>
      </w:r>
    </w:p>
    <w:p w:rsidR="004158CE" w:rsidRDefault="004158CE" w:rsidP="004158CE">
      <w:pPr>
        <w:spacing w:line="276" w:lineRule="auto"/>
        <w:ind w:left="397" w:hanging="397"/>
        <w:jc w:val="both"/>
        <w:rPr>
          <w:rFonts w:cs="Times New Roman"/>
          <w:color w:val="000000"/>
          <w:sz w:val="22"/>
          <w:shd w:val="clear" w:color="auto" w:fill="FFFFFF"/>
        </w:rPr>
      </w:pPr>
      <w:r w:rsidRPr="004158CE">
        <w:rPr>
          <w:rFonts w:cs="Times New Roman"/>
          <w:bCs/>
          <w:color w:val="000000"/>
          <w:sz w:val="22"/>
          <w:shd w:val="clear" w:color="auto" w:fill="FFFFFF"/>
        </w:rPr>
        <w:t>PRONALDES</w:t>
      </w:r>
      <w:r w:rsidRPr="004158CE">
        <w:rPr>
          <w:rFonts w:cs="Times New Roman"/>
          <w:b/>
          <w:bCs/>
          <w:color w:val="000000"/>
          <w:sz w:val="22"/>
          <w:shd w:val="clear" w:color="auto" w:fill="FFFFFF"/>
        </w:rPr>
        <w:t>. (</w:t>
      </w:r>
      <w:r w:rsidRPr="004158CE">
        <w:rPr>
          <w:rFonts w:cs="Times New Roman"/>
          <w:color w:val="000000"/>
          <w:sz w:val="22"/>
          <w:shd w:val="clear" w:color="auto" w:fill="FFFFFF"/>
        </w:rPr>
        <w:t>1996). </w:t>
      </w:r>
      <w:r w:rsidRPr="004158CE">
        <w:rPr>
          <w:rFonts w:cs="Times New Roman"/>
          <w:i/>
          <w:iCs/>
          <w:color w:val="000000"/>
          <w:sz w:val="22"/>
          <w:shd w:val="clear" w:color="auto" w:fill="FFFFFF"/>
        </w:rPr>
        <w:t>Mapa preliminar de erosión de suelos: región árida, semiárida y subhúmeda de Bolivia. </w:t>
      </w:r>
      <w:r w:rsidRPr="004158CE">
        <w:rPr>
          <w:rFonts w:cs="Times New Roman"/>
          <w:color w:val="000000"/>
          <w:sz w:val="22"/>
          <w:shd w:val="clear" w:color="auto" w:fill="FFFFFF"/>
        </w:rPr>
        <w:t>Programa Nacional de Lucha contra la Desertificación. CID. La Paz.</w:t>
      </w:r>
    </w:p>
    <w:p w:rsidR="00C46640" w:rsidRPr="00C46640" w:rsidRDefault="00C46640" w:rsidP="00C46640">
      <w:pPr>
        <w:spacing w:line="276" w:lineRule="auto"/>
        <w:ind w:left="397" w:hanging="397"/>
        <w:jc w:val="both"/>
        <w:rPr>
          <w:rFonts w:cs="Times New Roman"/>
          <w:sz w:val="22"/>
        </w:rPr>
      </w:pPr>
      <w:r w:rsidRPr="00C46640">
        <w:rPr>
          <w:rFonts w:cs="Times New Roman"/>
          <w:color w:val="222222"/>
          <w:sz w:val="22"/>
          <w:shd w:val="clear" w:color="auto" w:fill="FFFFFF"/>
        </w:rPr>
        <w:t xml:space="preserve">Ratón, T., Portuondo, I., Salas, D., Ramos, N., &amp; Giro, Z. (2005). </w:t>
      </w:r>
      <w:r w:rsidRPr="00231DD9">
        <w:rPr>
          <w:rFonts w:cs="Times New Roman"/>
          <w:i/>
          <w:color w:val="222222"/>
          <w:sz w:val="22"/>
          <w:shd w:val="clear" w:color="auto" w:fill="FFFFFF"/>
        </w:rPr>
        <w:t>Aislamiento de cepas del genero Bacillus sp. con potencialidades para la bioprotección y la estimulación del crecimiento vegetal. </w:t>
      </w:r>
      <w:r w:rsidRPr="00231DD9">
        <w:rPr>
          <w:rFonts w:cs="Times New Roman"/>
          <w:iCs/>
          <w:color w:val="222222"/>
          <w:sz w:val="22"/>
          <w:shd w:val="clear" w:color="auto" w:fill="FFFFFF"/>
        </w:rPr>
        <w:t>Revista Cubana de Química</w:t>
      </w:r>
      <w:r w:rsidRPr="00231DD9">
        <w:rPr>
          <w:rFonts w:cs="Times New Roman"/>
          <w:color w:val="222222"/>
          <w:sz w:val="22"/>
          <w:shd w:val="clear" w:color="auto" w:fill="FFFFFF"/>
        </w:rPr>
        <w:t>, </w:t>
      </w:r>
      <w:r w:rsidRPr="00C46640">
        <w:rPr>
          <w:rFonts w:cs="Times New Roman"/>
          <w:i/>
          <w:iCs/>
          <w:color w:val="222222"/>
          <w:sz w:val="22"/>
          <w:shd w:val="clear" w:color="auto" w:fill="FFFFFF"/>
        </w:rPr>
        <w:t>17</w:t>
      </w:r>
      <w:r w:rsidRPr="00C46640">
        <w:rPr>
          <w:rFonts w:cs="Times New Roman"/>
          <w:color w:val="222222"/>
          <w:sz w:val="22"/>
          <w:shd w:val="clear" w:color="auto" w:fill="FFFFFF"/>
        </w:rPr>
        <w:t>(1), 189-195.</w:t>
      </w:r>
    </w:p>
    <w:p w:rsidR="00FE6B5A" w:rsidRDefault="00FE6B5A" w:rsidP="00FE6B5A">
      <w:pPr>
        <w:spacing w:line="276" w:lineRule="auto"/>
        <w:ind w:left="397" w:hanging="397"/>
        <w:jc w:val="both"/>
        <w:rPr>
          <w:rFonts w:cs="Times New Roman"/>
          <w:sz w:val="22"/>
          <w:shd w:val="clear" w:color="auto" w:fill="FFFFFF"/>
        </w:rPr>
      </w:pPr>
      <w:r w:rsidRPr="00FE6B5A">
        <w:rPr>
          <w:rFonts w:cs="Times New Roman"/>
          <w:sz w:val="22"/>
          <w:shd w:val="clear" w:color="auto" w:fill="FFFFFF"/>
          <w:lang w:val="de-DE"/>
        </w:rPr>
        <w:t xml:space="preserve">Rengel, Z. y Marschner, P. (2005). Nutrient availability in the rizosphere: exploiting genotypic differences. </w:t>
      </w:r>
      <w:r w:rsidRPr="00FE6B5A">
        <w:rPr>
          <w:rFonts w:cs="Times New Roman"/>
          <w:sz w:val="22"/>
          <w:shd w:val="clear" w:color="auto" w:fill="FFFFFF"/>
        </w:rPr>
        <w:t>New Phytologyst 168:305-312.</w:t>
      </w:r>
    </w:p>
    <w:p w:rsidR="004158CE" w:rsidRPr="004158CE" w:rsidRDefault="004158CE" w:rsidP="004158CE">
      <w:pPr>
        <w:spacing w:line="276" w:lineRule="auto"/>
        <w:ind w:left="397" w:hanging="397"/>
        <w:jc w:val="both"/>
        <w:rPr>
          <w:rFonts w:cs="Times New Roman"/>
          <w:color w:val="222222"/>
          <w:sz w:val="22"/>
          <w:shd w:val="clear" w:color="auto" w:fill="FFFFFF"/>
        </w:rPr>
      </w:pPr>
      <w:r w:rsidRPr="004158CE">
        <w:rPr>
          <w:rFonts w:cs="Times New Roman"/>
          <w:color w:val="000000"/>
          <w:sz w:val="22"/>
        </w:rPr>
        <w:t xml:space="preserve">Sánchez, D., Gómez, R., Garrido, M., &amp; Bonilla, R. (2012). </w:t>
      </w:r>
      <w:r w:rsidRPr="00231DD9">
        <w:rPr>
          <w:rFonts w:cs="Times New Roman"/>
          <w:i/>
          <w:color w:val="000000"/>
          <w:sz w:val="22"/>
        </w:rPr>
        <w:t>Inoculación con bacterias promotoras de crecimiento vegetal en tomate bajo condiciones de invernadero.</w:t>
      </w:r>
      <w:r w:rsidRPr="004158CE">
        <w:rPr>
          <w:rFonts w:cs="Times New Roman"/>
          <w:color w:val="000000"/>
          <w:sz w:val="22"/>
        </w:rPr>
        <w:t> </w:t>
      </w:r>
      <w:r w:rsidRPr="00231DD9">
        <w:rPr>
          <w:rFonts w:cs="Times New Roman"/>
          <w:iCs/>
          <w:color w:val="000000"/>
          <w:sz w:val="22"/>
        </w:rPr>
        <w:t>Revista mexicana de ciencias agrícolas</w:t>
      </w:r>
      <w:r w:rsidRPr="00231DD9">
        <w:rPr>
          <w:rFonts w:cs="Times New Roman"/>
          <w:color w:val="000000"/>
          <w:sz w:val="22"/>
        </w:rPr>
        <w:t>, </w:t>
      </w:r>
      <w:r w:rsidRPr="004158CE">
        <w:rPr>
          <w:rFonts w:cs="Times New Roman"/>
          <w:i/>
          <w:iCs/>
          <w:color w:val="000000"/>
          <w:sz w:val="22"/>
        </w:rPr>
        <w:t>3</w:t>
      </w:r>
      <w:r w:rsidRPr="004158CE">
        <w:rPr>
          <w:rFonts w:cs="Times New Roman"/>
          <w:color w:val="000000"/>
          <w:sz w:val="22"/>
        </w:rPr>
        <w:t xml:space="preserve">(7), 1401-1415. </w:t>
      </w:r>
    </w:p>
    <w:p w:rsidR="004158CE" w:rsidRPr="004158CE" w:rsidRDefault="004158CE" w:rsidP="004158CE">
      <w:pPr>
        <w:spacing w:line="276" w:lineRule="auto"/>
        <w:ind w:left="397" w:hanging="397"/>
        <w:jc w:val="both"/>
        <w:rPr>
          <w:rFonts w:cs="Times New Roman"/>
          <w:sz w:val="22"/>
        </w:rPr>
      </w:pPr>
      <w:r w:rsidRPr="004158CE">
        <w:rPr>
          <w:rFonts w:cs="Times New Roman"/>
          <w:sz w:val="22"/>
        </w:rPr>
        <w:t>Torres, C. P., &amp; de Prager, M. S. (2014). Efecto de la aplicación de roca fosfórica y la inoculación con bacterias solubilizadoras de fosfatos sobre el crecimiento del ají (Capsicum annum). Acta Agronómica, 63(2), 1-13.</w:t>
      </w:r>
    </w:p>
    <w:p w:rsidR="0068796C" w:rsidRDefault="004158CE" w:rsidP="00FD28B7">
      <w:pPr>
        <w:spacing w:line="276" w:lineRule="auto"/>
        <w:ind w:left="397" w:hanging="397"/>
        <w:jc w:val="both"/>
        <w:rPr>
          <w:rFonts w:cs="Times New Roman"/>
          <w:sz w:val="22"/>
        </w:rPr>
      </w:pPr>
      <w:r w:rsidRPr="004158CE">
        <w:rPr>
          <w:rFonts w:cs="Times New Roman"/>
          <w:color w:val="222222"/>
          <w:sz w:val="22"/>
          <w:shd w:val="clear" w:color="auto" w:fill="FFFFFF"/>
        </w:rPr>
        <w:t>Viñals, M., &amp; Villar, J. (1999). Avances en la formulación y aplicación de inoculantes bacterianos de uso agrícola. </w:t>
      </w:r>
      <w:r w:rsidRPr="004158CE">
        <w:rPr>
          <w:rFonts w:cs="Times New Roman"/>
          <w:i/>
          <w:iCs/>
          <w:color w:val="222222"/>
          <w:sz w:val="22"/>
          <w:shd w:val="clear" w:color="auto" w:fill="FFFFFF"/>
        </w:rPr>
        <w:t>Cultivos tropicales</w:t>
      </w:r>
      <w:r w:rsidRPr="004158CE">
        <w:rPr>
          <w:rFonts w:cs="Times New Roman"/>
          <w:color w:val="222222"/>
          <w:sz w:val="22"/>
          <w:shd w:val="clear" w:color="auto" w:fill="FFFFFF"/>
        </w:rPr>
        <w:t>, </w:t>
      </w:r>
      <w:r w:rsidRPr="004158CE">
        <w:rPr>
          <w:rFonts w:cs="Times New Roman"/>
          <w:i/>
          <w:iCs/>
          <w:color w:val="222222"/>
          <w:sz w:val="22"/>
          <w:shd w:val="clear" w:color="auto" w:fill="FFFFFF"/>
        </w:rPr>
        <w:t>20</w:t>
      </w:r>
      <w:r w:rsidRPr="004158CE">
        <w:rPr>
          <w:rFonts w:cs="Times New Roman"/>
          <w:color w:val="222222"/>
          <w:sz w:val="22"/>
          <w:shd w:val="clear" w:color="auto" w:fill="FFFFFF"/>
        </w:rPr>
        <w:t>(4), 9-17.</w:t>
      </w:r>
      <w:r w:rsidRPr="004158CE">
        <w:rPr>
          <w:rFonts w:cs="Times New Roman"/>
          <w:sz w:val="22"/>
        </w:rPr>
        <w:t xml:space="preserve"> </w:t>
      </w:r>
    </w:p>
    <w:p w:rsidR="0068796C" w:rsidRPr="0068796C" w:rsidRDefault="0068796C" w:rsidP="0068796C">
      <w:pPr>
        <w:spacing w:line="276" w:lineRule="auto"/>
        <w:ind w:left="397" w:hanging="397"/>
        <w:jc w:val="both"/>
        <w:rPr>
          <w:rFonts w:cs="Times New Roman"/>
          <w:sz w:val="22"/>
        </w:rPr>
      </w:pPr>
      <w:r w:rsidRPr="0068796C">
        <w:rPr>
          <w:rFonts w:cs="Times New Roman"/>
          <w:sz w:val="22"/>
        </w:rPr>
        <w:t xml:space="preserve">Zapata, J., Diaz, A., Caviedes, D. (2012) </w:t>
      </w:r>
      <w:r w:rsidRPr="00FD28B7">
        <w:rPr>
          <w:rFonts w:cs="Times New Roman"/>
          <w:i/>
          <w:sz w:val="22"/>
        </w:rPr>
        <w:t>Estrategias de control biológico de Fusarium oxysporum en el cultivo de uchuva,</w:t>
      </w:r>
      <w:r w:rsidRPr="0068796C">
        <w:rPr>
          <w:rFonts w:cs="Times New Roman"/>
          <w:sz w:val="22"/>
        </w:rPr>
        <w:t xml:space="preserve"> 27-31 </w:t>
      </w:r>
    </w:p>
    <w:p w:rsidR="0068796C" w:rsidRPr="004158CE" w:rsidRDefault="0068796C" w:rsidP="004158CE">
      <w:pPr>
        <w:spacing w:line="276" w:lineRule="auto"/>
        <w:ind w:left="397" w:hanging="397"/>
        <w:jc w:val="both"/>
        <w:rPr>
          <w:rFonts w:cs="Times New Roman"/>
          <w:sz w:val="22"/>
        </w:rPr>
      </w:pPr>
    </w:p>
    <w:p w:rsidR="00E60376" w:rsidRPr="002A2752" w:rsidRDefault="00E60376" w:rsidP="002A2752">
      <w:pPr>
        <w:spacing w:after="0" w:line="276" w:lineRule="auto"/>
        <w:jc w:val="both"/>
        <w:rPr>
          <w:rFonts w:cs="Times New Roman"/>
          <w:b/>
          <w:sz w:val="22"/>
          <w:lang w:eastAsia="es-ES"/>
        </w:rPr>
      </w:pPr>
    </w:p>
    <w:sectPr w:rsidR="00E60376" w:rsidRPr="002A2752" w:rsidSect="00ED5A43">
      <w:type w:val="continuous"/>
      <w:pgSz w:w="12240" w:h="15840" w:code="1"/>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461" w:rsidRDefault="006F2461" w:rsidP="008A13D2">
      <w:pPr>
        <w:spacing w:after="0" w:line="240" w:lineRule="auto"/>
      </w:pPr>
      <w:r>
        <w:separator/>
      </w:r>
    </w:p>
  </w:endnote>
  <w:endnote w:type="continuationSeparator" w:id="0">
    <w:p w:rsidR="006F2461" w:rsidRDefault="006F2461" w:rsidP="008A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461" w:rsidRDefault="006F2461" w:rsidP="008A13D2">
      <w:pPr>
        <w:spacing w:after="0" w:line="240" w:lineRule="auto"/>
      </w:pPr>
      <w:r>
        <w:separator/>
      </w:r>
    </w:p>
  </w:footnote>
  <w:footnote w:type="continuationSeparator" w:id="0">
    <w:p w:rsidR="006F2461" w:rsidRDefault="006F2461" w:rsidP="008A1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874" w:rsidRDefault="006A1874">
    <w:pPr>
      <w:pStyle w:val="Encabezado"/>
    </w:pPr>
  </w:p>
  <w:p w:rsidR="006A1874" w:rsidRDefault="006A18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D780A"/>
    <w:multiLevelType w:val="hybridMultilevel"/>
    <w:tmpl w:val="9DBE0546"/>
    <w:lvl w:ilvl="0" w:tplc="C8FE44D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25EE4954"/>
    <w:multiLevelType w:val="multilevel"/>
    <w:tmpl w:val="022E1872"/>
    <w:lvl w:ilvl="0">
      <w:start w:val="4"/>
      <w:numFmt w:val="decimal"/>
      <w:lvlText w:val="%1."/>
      <w:lvlJc w:val="left"/>
      <w:pPr>
        <w:ind w:left="540" w:hanging="540"/>
      </w:pPr>
      <w:rPr>
        <w:rFonts w:cstheme="majorBidi" w:hint="default"/>
        <w:i w:val="0"/>
      </w:rPr>
    </w:lvl>
    <w:lvl w:ilvl="1">
      <w:start w:val="1"/>
      <w:numFmt w:val="decimal"/>
      <w:lvlText w:val="%1.%2."/>
      <w:lvlJc w:val="left"/>
      <w:pPr>
        <w:ind w:left="540" w:hanging="540"/>
      </w:pPr>
      <w:rPr>
        <w:rFonts w:cstheme="majorBidi" w:hint="default"/>
        <w:b/>
        <w:i w:val="0"/>
      </w:rPr>
    </w:lvl>
    <w:lvl w:ilvl="2">
      <w:start w:val="1"/>
      <w:numFmt w:val="decimal"/>
      <w:lvlText w:val="%1.%2.%3."/>
      <w:lvlJc w:val="left"/>
      <w:pPr>
        <w:ind w:left="720" w:hanging="720"/>
      </w:pPr>
      <w:rPr>
        <w:rFonts w:cstheme="majorBidi" w:hint="default"/>
        <w:b/>
        <w:i w:val="0"/>
      </w:rPr>
    </w:lvl>
    <w:lvl w:ilvl="3">
      <w:start w:val="1"/>
      <w:numFmt w:val="decimal"/>
      <w:lvlText w:val="%1.%2.%3.%4."/>
      <w:lvlJc w:val="left"/>
      <w:pPr>
        <w:ind w:left="720" w:hanging="720"/>
      </w:pPr>
      <w:rPr>
        <w:rFonts w:cstheme="majorBidi" w:hint="default"/>
        <w:i w:val="0"/>
      </w:rPr>
    </w:lvl>
    <w:lvl w:ilvl="4">
      <w:start w:val="1"/>
      <w:numFmt w:val="decimal"/>
      <w:lvlText w:val="%1.%2.%3.%4.%5."/>
      <w:lvlJc w:val="left"/>
      <w:pPr>
        <w:ind w:left="1080" w:hanging="1080"/>
      </w:pPr>
      <w:rPr>
        <w:rFonts w:cstheme="majorBidi" w:hint="default"/>
        <w:i w:val="0"/>
      </w:rPr>
    </w:lvl>
    <w:lvl w:ilvl="5">
      <w:start w:val="1"/>
      <w:numFmt w:val="decimal"/>
      <w:lvlText w:val="%1.%2.%3.%4.%5.%6."/>
      <w:lvlJc w:val="left"/>
      <w:pPr>
        <w:ind w:left="1080" w:hanging="1080"/>
      </w:pPr>
      <w:rPr>
        <w:rFonts w:cstheme="majorBidi" w:hint="default"/>
        <w:i w:val="0"/>
      </w:rPr>
    </w:lvl>
    <w:lvl w:ilvl="6">
      <w:start w:val="1"/>
      <w:numFmt w:val="decimal"/>
      <w:lvlText w:val="%1.%2.%3.%4.%5.%6.%7."/>
      <w:lvlJc w:val="left"/>
      <w:pPr>
        <w:ind w:left="1440" w:hanging="1440"/>
      </w:pPr>
      <w:rPr>
        <w:rFonts w:cstheme="majorBidi" w:hint="default"/>
        <w:i w:val="0"/>
      </w:rPr>
    </w:lvl>
    <w:lvl w:ilvl="7">
      <w:start w:val="1"/>
      <w:numFmt w:val="decimal"/>
      <w:lvlText w:val="%1.%2.%3.%4.%5.%6.%7.%8."/>
      <w:lvlJc w:val="left"/>
      <w:pPr>
        <w:ind w:left="1440" w:hanging="1440"/>
      </w:pPr>
      <w:rPr>
        <w:rFonts w:cstheme="majorBidi" w:hint="default"/>
        <w:i w:val="0"/>
      </w:rPr>
    </w:lvl>
    <w:lvl w:ilvl="8">
      <w:start w:val="1"/>
      <w:numFmt w:val="decimal"/>
      <w:lvlText w:val="%1.%2.%3.%4.%5.%6.%7.%8.%9."/>
      <w:lvlJc w:val="left"/>
      <w:pPr>
        <w:ind w:left="1800" w:hanging="1800"/>
      </w:pPr>
      <w:rPr>
        <w:rFonts w:cstheme="majorBidi" w:hint="default"/>
        <w:i w:val="0"/>
      </w:rPr>
    </w:lvl>
  </w:abstractNum>
  <w:abstractNum w:abstractNumId="2">
    <w:nsid w:val="524E52BA"/>
    <w:multiLevelType w:val="hybridMultilevel"/>
    <w:tmpl w:val="C590B24C"/>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
    <w:nsid w:val="7C6F6F68"/>
    <w:multiLevelType w:val="hybridMultilevel"/>
    <w:tmpl w:val="EC401C04"/>
    <w:lvl w:ilvl="0" w:tplc="319ED9FA">
      <w:numFmt w:val="bullet"/>
      <w:lvlText w:val="-"/>
      <w:lvlJc w:val="left"/>
      <w:pPr>
        <w:ind w:left="720" w:hanging="360"/>
      </w:pPr>
      <w:rPr>
        <w:rFonts w:ascii="Arial" w:eastAsiaTheme="minorHAnsi"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ADA"/>
    <w:rsid w:val="00005E46"/>
    <w:rsid w:val="00016BBF"/>
    <w:rsid w:val="000308ED"/>
    <w:rsid w:val="00035199"/>
    <w:rsid w:val="00057ED7"/>
    <w:rsid w:val="000955E4"/>
    <w:rsid w:val="00096292"/>
    <w:rsid w:val="000D32CC"/>
    <w:rsid w:val="000D3FCC"/>
    <w:rsid w:val="000E69E4"/>
    <w:rsid w:val="000F3AB3"/>
    <w:rsid w:val="00102539"/>
    <w:rsid w:val="001026C3"/>
    <w:rsid w:val="0012174C"/>
    <w:rsid w:val="001234BA"/>
    <w:rsid w:val="00146982"/>
    <w:rsid w:val="00193265"/>
    <w:rsid w:val="00196005"/>
    <w:rsid w:val="001A0DAF"/>
    <w:rsid w:val="001B4C1F"/>
    <w:rsid w:val="001D6FAB"/>
    <w:rsid w:val="001F3CD1"/>
    <w:rsid w:val="00231DD9"/>
    <w:rsid w:val="00232B72"/>
    <w:rsid w:val="0024572B"/>
    <w:rsid w:val="0025450D"/>
    <w:rsid w:val="00280063"/>
    <w:rsid w:val="002871A9"/>
    <w:rsid w:val="00295387"/>
    <w:rsid w:val="002A2752"/>
    <w:rsid w:val="002B1EA3"/>
    <w:rsid w:val="002E45F6"/>
    <w:rsid w:val="002E4828"/>
    <w:rsid w:val="002E69B2"/>
    <w:rsid w:val="002E796D"/>
    <w:rsid w:val="00361B4A"/>
    <w:rsid w:val="00365571"/>
    <w:rsid w:val="003724C2"/>
    <w:rsid w:val="00393D3C"/>
    <w:rsid w:val="003A3753"/>
    <w:rsid w:val="003B0EF1"/>
    <w:rsid w:val="003B1166"/>
    <w:rsid w:val="003B69A9"/>
    <w:rsid w:val="0040528B"/>
    <w:rsid w:val="004057E6"/>
    <w:rsid w:val="004158CE"/>
    <w:rsid w:val="00430654"/>
    <w:rsid w:val="00433D1B"/>
    <w:rsid w:val="004A0ADA"/>
    <w:rsid w:val="004A4FD0"/>
    <w:rsid w:val="004A59FD"/>
    <w:rsid w:val="004C029E"/>
    <w:rsid w:val="004E344C"/>
    <w:rsid w:val="004F22FD"/>
    <w:rsid w:val="00503E6A"/>
    <w:rsid w:val="005129CD"/>
    <w:rsid w:val="00514B67"/>
    <w:rsid w:val="00561073"/>
    <w:rsid w:val="00580136"/>
    <w:rsid w:val="005877CE"/>
    <w:rsid w:val="005B2020"/>
    <w:rsid w:val="005C745D"/>
    <w:rsid w:val="005D342D"/>
    <w:rsid w:val="005E5F25"/>
    <w:rsid w:val="005E79E6"/>
    <w:rsid w:val="00605855"/>
    <w:rsid w:val="00627087"/>
    <w:rsid w:val="00652376"/>
    <w:rsid w:val="00654F89"/>
    <w:rsid w:val="00655755"/>
    <w:rsid w:val="0065638F"/>
    <w:rsid w:val="00662FA6"/>
    <w:rsid w:val="0068796C"/>
    <w:rsid w:val="006A1874"/>
    <w:rsid w:val="006B6ED5"/>
    <w:rsid w:val="006C401F"/>
    <w:rsid w:val="006E02D4"/>
    <w:rsid w:val="006F2461"/>
    <w:rsid w:val="00725CAD"/>
    <w:rsid w:val="00754385"/>
    <w:rsid w:val="007A77CE"/>
    <w:rsid w:val="007C6DA2"/>
    <w:rsid w:val="007D51E0"/>
    <w:rsid w:val="007E0DEB"/>
    <w:rsid w:val="00806C9B"/>
    <w:rsid w:val="008A13D2"/>
    <w:rsid w:val="008C5068"/>
    <w:rsid w:val="008F18FD"/>
    <w:rsid w:val="00922E50"/>
    <w:rsid w:val="00955408"/>
    <w:rsid w:val="009829EB"/>
    <w:rsid w:val="009A0B83"/>
    <w:rsid w:val="009D4DEA"/>
    <w:rsid w:val="009E1F74"/>
    <w:rsid w:val="009E6D82"/>
    <w:rsid w:val="009F5099"/>
    <w:rsid w:val="00A07782"/>
    <w:rsid w:val="00A44832"/>
    <w:rsid w:val="00A45FA8"/>
    <w:rsid w:val="00A733B9"/>
    <w:rsid w:val="00A734F7"/>
    <w:rsid w:val="00A77A6B"/>
    <w:rsid w:val="00AA351C"/>
    <w:rsid w:val="00AB306D"/>
    <w:rsid w:val="00AD6915"/>
    <w:rsid w:val="00AE5E48"/>
    <w:rsid w:val="00AF5852"/>
    <w:rsid w:val="00B3562F"/>
    <w:rsid w:val="00B36B22"/>
    <w:rsid w:val="00B57547"/>
    <w:rsid w:val="00B72299"/>
    <w:rsid w:val="00B72FE7"/>
    <w:rsid w:val="00BD7B98"/>
    <w:rsid w:val="00BD7E66"/>
    <w:rsid w:val="00C2483E"/>
    <w:rsid w:val="00C30F77"/>
    <w:rsid w:val="00C35865"/>
    <w:rsid w:val="00C45B4E"/>
    <w:rsid w:val="00C46640"/>
    <w:rsid w:val="00C71572"/>
    <w:rsid w:val="00C741B5"/>
    <w:rsid w:val="00C95D0A"/>
    <w:rsid w:val="00CD46A9"/>
    <w:rsid w:val="00CD6E7C"/>
    <w:rsid w:val="00CE0793"/>
    <w:rsid w:val="00D14768"/>
    <w:rsid w:val="00D323D6"/>
    <w:rsid w:val="00D56B93"/>
    <w:rsid w:val="00D803EA"/>
    <w:rsid w:val="00D86843"/>
    <w:rsid w:val="00D86E57"/>
    <w:rsid w:val="00D969AA"/>
    <w:rsid w:val="00DB15B8"/>
    <w:rsid w:val="00DD7321"/>
    <w:rsid w:val="00E1653B"/>
    <w:rsid w:val="00E36B71"/>
    <w:rsid w:val="00E435C7"/>
    <w:rsid w:val="00E60376"/>
    <w:rsid w:val="00EA7766"/>
    <w:rsid w:val="00ED269C"/>
    <w:rsid w:val="00ED3251"/>
    <w:rsid w:val="00ED5A43"/>
    <w:rsid w:val="00EE5ED4"/>
    <w:rsid w:val="00F05977"/>
    <w:rsid w:val="00F67909"/>
    <w:rsid w:val="00F74E56"/>
    <w:rsid w:val="00F913D6"/>
    <w:rsid w:val="00F91832"/>
    <w:rsid w:val="00F91F89"/>
    <w:rsid w:val="00F9248D"/>
    <w:rsid w:val="00FB06B0"/>
    <w:rsid w:val="00FC4524"/>
    <w:rsid w:val="00FC6365"/>
    <w:rsid w:val="00FD28B7"/>
    <w:rsid w:val="00FE6B5A"/>
    <w:rsid w:val="00FF0C0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58A07-0E1B-48F3-8C7C-8CFE0F15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ADA"/>
    <w:pPr>
      <w:spacing w:line="256" w:lineRule="auto"/>
    </w:pPr>
    <w:rPr>
      <w:rFonts w:ascii="Times New Roman" w:hAnsi="Times New Roman"/>
      <w:lang w:val="es-ES"/>
    </w:rPr>
  </w:style>
  <w:style w:type="paragraph" w:styleId="Ttulo1">
    <w:name w:val="heading 1"/>
    <w:basedOn w:val="Normal"/>
    <w:next w:val="Normal"/>
    <w:link w:val="Ttulo1Car"/>
    <w:uiPriority w:val="9"/>
    <w:qFormat/>
    <w:rsid w:val="00FC4524"/>
    <w:pPr>
      <w:keepNext/>
      <w:keepLines/>
      <w:spacing w:before="240" w:after="120" w:line="259" w:lineRule="auto"/>
      <w:outlineLvl w:val="0"/>
    </w:pPr>
    <w:rPr>
      <w:rFonts w:eastAsiaTheme="majorEastAsia" w:cs="Times New Roman"/>
      <w:b/>
      <w:bCs/>
      <w:sz w:val="28"/>
      <w:szCs w:val="28"/>
      <w:lang w:val="es-BO"/>
    </w:rPr>
  </w:style>
  <w:style w:type="paragraph" w:styleId="Ttulo2">
    <w:name w:val="heading 2"/>
    <w:basedOn w:val="Normal"/>
    <w:next w:val="Normal"/>
    <w:link w:val="Ttulo2Car"/>
    <w:uiPriority w:val="9"/>
    <w:semiHidden/>
    <w:unhideWhenUsed/>
    <w:qFormat/>
    <w:rsid w:val="00393D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5237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ED325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0ADA"/>
    <w:pPr>
      <w:ind w:left="720"/>
      <w:contextualSpacing/>
    </w:pPr>
  </w:style>
  <w:style w:type="character" w:styleId="Hipervnculo">
    <w:name w:val="Hyperlink"/>
    <w:basedOn w:val="Fuentedeprrafopredeter"/>
    <w:uiPriority w:val="99"/>
    <w:unhideWhenUsed/>
    <w:rsid w:val="004F22FD"/>
    <w:rPr>
      <w:color w:val="0563C1" w:themeColor="hyperlink"/>
      <w:u w:val="single"/>
    </w:rPr>
  </w:style>
  <w:style w:type="character" w:customStyle="1" w:styleId="Ttulo1Car">
    <w:name w:val="Título 1 Car"/>
    <w:basedOn w:val="Fuentedeprrafopredeter"/>
    <w:link w:val="Ttulo1"/>
    <w:uiPriority w:val="9"/>
    <w:rsid w:val="00FC4524"/>
    <w:rPr>
      <w:rFonts w:ascii="Times New Roman" w:eastAsiaTheme="majorEastAsia" w:hAnsi="Times New Roman" w:cs="Times New Roman"/>
      <w:b/>
      <w:bCs/>
      <w:sz w:val="28"/>
      <w:szCs w:val="28"/>
    </w:rPr>
  </w:style>
  <w:style w:type="character" w:customStyle="1" w:styleId="Ttulo3Car">
    <w:name w:val="Título 3 Car"/>
    <w:basedOn w:val="Fuentedeprrafopredeter"/>
    <w:link w:val="Ttulo3"/>
    <w:uiPriority w:val="9"/>
    <w:rsid w:val="00652376"/>
    <w:rPr>
      <w:rFonts w:asciiTheme="majorHAnsi" w:eastAsiaTheme="majorEastAsia" w:hAnsiTheme="majorHAnsi" w:cstheme="majorBidi"/>
      <w:color w:val="1F4D78" w:themeColor="accent1" w:themeShade="7F"/>
      <w:szCs w:val="24"/>
      <w:lang w:val="es-ES"/>
    </w:rPr>
  </w:style>
  <w:style w:type="character" w:customStyle="1" w:styleId="Ttulo4Car">
    <w:name w:val="Título 4 Car"/>
    <w:basedOn w:val="Fuentedeprrafopredeter"/>
    <w:link w:val="Ttulo4"/>
    <w:uiPriority w:val="9"/>
    <w:semiHidden/>
    <w:rsid w:val="00ED3251"/>
    <w:rPr>
      <w:rFonts w:asciiTheme="majorHAnsi" w:eastAsiaTheme="majorEastAsia" w:hAnsiTheme="majorHAnsi" w:cstheme="majorBidi"/>
      <w:i/>
      <w:iCs/>
      <w:color w:val="2E74B5" w:themeColor="accent1" w:themeShade="BF"/>
      <w:lang w:val="es-ES"/>
    </w:rPr>
  </w:style>
  <w:style w:type="paragraph" w:styleId="Encabezado">
    <w:name w:val="header"/>
    <w:basedOn w:val="Normal"/>
    <w:link w:val="EncabezadoCar"/>
    <w:uiPriority w:val="99"/>
    <w:unhideWhenUsed/>
    <w:rsid w:val="008A13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13D2"/>
    <w:rPr>
      <w:rFonts w:ascii="Times New Roman" w:hAnsi="Times New Roman"/>
      <w:lang w:val="es-ES"/>
    </w:rPr>
  </w:style>
  <w:style w:type="paragraph" w:styleId="Piedepgina">
    <w:name w:val="footer"/>
    <w:basedOn w:val="Normal"/>
    <w:link w:val="PiedepginaCar"/>
    <w:uiPriority w:val="99"/>
    <w:unhideWhenUsed/>
    <w:rsid w:val="008A13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13D2"/>
    <w:rPr>
      <w:rFonts w:ascii="Times New Roman" w:hAnsi="Times New Roman"/>
      <w:lang w:val="es-ES"/>
    </w:rPr>
  </w:style>
  <w:style w:type="character" w:customStyle="1" w:styleId="Ttulo2Car">
    <w:name w:val="Título 2 Car"/>
    <w:basedOn w:val="Fuentedeprrafopredeter"/>
    <w:link w:val="Ttulo2"/>
    <w:uiPriority w:val="9"/>
    <w:rsid w:val="00393D3C"/>
    <w:rPr>
      <w:rFonts w:asciiTheme="majorHAnsi" w:eastAsiaTheme="majorEastAsia" w:hAnsiTheme="majorHAnsi" w:cstheme="majorBidi"/>
      <w:color w:val="2E74B5" w:themeColor="accent1" w:themeShade="BF"/>
      <w:sz w:val="26"/>
      <w:szCs w:val="26"/>
      <w:lang w:val="es-ES"/>
    </w:rPr>
  </w:style>
  <w:style w:type="table" w:styleId="Tablanormal2">
    <w:name w:val="Plain Table 2"/>
    <w:basedOn w:val="Tablanormal"/>
    <w:uiPriority w:val="42"/>
    <w:rsid w:val="00393D3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escripcin">
    <w:name w:val="caption"/>
    <w:basedOn w:val="Normal"/>
    <w:next w:val="Normal"/>
    <w:uiPriority w:val="35"/>
    <w:unhideWhenUsed/>
    <w:qFormat/>
    <w:rsid w:val="005B2020"/>
    <w:pPr>
      <w:spacing w:after="200" w:line="240" w:lineRule="auto"/>
    </w:pPr>
    <w:rPr>
      <w:i/>
      <w:iCs/>
      <w:color w:val="44546A" w:themeColor="text2"/>
      <w:sz w:val="18"/>
      <w:szCs w:val="18"/>
    </w:rPr>
  </w:style>
  <w:style w:type="character" w:styleId="nfasis">
    <w:name w:val="Emphasis"/>
    <w:basedOn w:val="Fuentedeprrafopredeter"/>
    <w:uiPriority w:val="20"/>
    <w:qFormat/>
    <w:rsid w:val="004158CE"/>
    <w:rPr>
      <w:i/>
      <w:iCs/>
    </w:rPr>
  </w:style>
  <w:style w:type="paragraph" w:customStyle="1" w:styleId="NDICEDECUADROS">
    <w:name w:val="ìNDICE DE CUADROS"/>
    <w:basedOn w:val="Normal"/>
    <w:next w:val="Ttulo1"/>
    <w:link w:val="NDICEDECUADROSCar"/>
    <w:autoRedefine/>
    <w:rsid w:val="004158CE"/>
    <w:pPr>
      <w:spacing w:line="276" w:lineRule="auto"/>
      <w:ind w:left="397" w:hanging="397"/>
    </w:pPr>
    <w:rPr>
      <w:rFonts w:cs="Times New Roman"/>
      <w:szCs w:val="24"/>
      <w:shd w:val="clear" w:color="auto" w:fill="FFFFFF"/>
      <w:lang w:eastAsia="es-ES"/>
    </w:rPr>
  </w:style>
  <w:style w:type="character" w:customStyle="1" w:styleId="NDICEDECUADROSCar">
    <w:name w:val="ìNDICE DE CUADROS Car"/>
    <w:basedOn w:val="Fuentedeprrafopredeter"/>
    <w:link w:val="NDICEDECUADROS"/>
    <w:rsid w:val="004158CE"/>
    <w:rPr>
      <w:rFonts w:ascii="Times New Roman" w:hAnsi="Times New Roman" w:cs="Times New Roman"/>
      <w:szCs w:val="24"/>
      <w:lang w:val="es-ES" w:eastAsia="es-ES"/>
    </w:rPr>
  </w:style>
  <w:style w:type="paragraph" w:styleId="Textodeglobo">
    <w:name w:val="Balloon Text"/>
    <w:basedOn w:val="Normal"/>
    <w:link w:val="TextodegloboCar"/>
    <w:uiPriority w:val="99"/>
    <w:semiHidden/>
    <w:unhideWhenUsed/>
    <w:rsid w:val="009E6D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6D82"/>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99158">
      <w:bodyDiv w:val="1"/>
      <w:marLeft w:val="0"/>
      <w:marRight w:val="0"/>
      <w:marTop w:val="0"/>
      <w:marBottom w:val="0"/>
      <w:divBdr>
        <w:top w:val="none" w:sz="0" w:space="0" w:color="auto"/>
        <w:left w:val="none" w:sz="0" w:space="0" w:color="auto"/>
        <w:bottom w:val="none" w:sz="0" w:space="0" w:color="auto"/>
        <w:right w:val="none" w:sz="0" w:space="0" w:color="auto"/>
      </w:divBdr>
    </w:div>
    <w:div w:id="12672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10" Type="http://schemas.openxmlformats.org/officeDocument/2006/relationships/hyperlink" Target="mailto:Aymin24g@gmail.com"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CORREGIDO%20DATOS-NIMIA-ELENA-CHAVEZ%20(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ownloads\CORREGIDO%20DATOS-NIMIA-ELENA-CHAVEZ%20(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ownloads\CORREGIDO%20DATOS-NIMIA-ELENA-CHAVEZ%20(3).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ownloads\CORREGIDO%20DATOS-NIMIA-ELENA-CHAVEZ%20(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ownloads\CORREGIDO%20DATOS-NIMIA-ELENA-CHAVEZ%20(3).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ownloads\CORREGIDO%20DATOS-NIMIA-ELENA-CHAVEZ%20(3).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CORREGIDO%20DATOS-NIMIA-ELENA-CHAVEZ%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wnloads\CORREGIDO%20DATOS-NIMIA-ELENA-CHAVEZ%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ownloads\CORREGIDO%20DATOS-NIMIA-ELENA-CHAVEZ%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ownloads\CORREGIDO%20DATOS-NIMIA-ELENA-CHAVEZ%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ownloads\CORREGIDO%20DATOS-NIMIA-ELENA-CHAVEZ%20(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ownloads\CORREGIDO%20DATOS-NIMIA-ELENA-CHAVEZ%20(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ownloads\CORREGIDO%20DATOS-NIMIA-ELENA-CHAVEZ%20(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ownloads\CORREGIDO%20DATOS-NIMIA-ELENA-CHAVEZ%20(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BO" sz="1000"/>
              <a:t>SIN ROCA </a:t>
            </a:r>
            <a:r>
              <a:rPr lang="es-ES" sz="1000"/>
              <a:t>FOSFÓRICA</a:t>
            </a:r>
            <a:r>
              <a:rPr lang="es-BO" sz="1000"/>
              <a:t> </a:t>
            </a:r>
          </a:p>
          <a:p>
            <a:pPr>
              <a:defRPr/>
            </a:pPr>
            <a:endParaRPr lang="es-BO"/>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BO"/>
        </a:p>
      </c:txPr>
    </c:title>
    <c:autoTitleDeleted val="0"/>
    <c:plotArea>
      <c:layout>
        <c:manualLayout>
          <c:layoutTarget val="inner"/>
          <c:xMode val="edge"/>
          <c:yMode val="edge"/>
          <c:x val="0.16054211405392507"/>
          <c:y val="0.18162962962962967"/>
          <c:w val="0.79501344150163034"/>
          <c:h val="0.4454196558763488"/>
        </c:manualLayout>
      </c:layout>
      <c:barChart>
        <c:barDir val="col"/>
        <c:grouping val="clustered"/>
        <c:varyColors val="0"/>
        <c:ser>
          <c:idx val="0"/>
          <c:order val="0"/>
          <c:spPr>
            <a:solidFill>
              <a:schemeClr val="accent2"/>
            </a:solidFill>
            <a:ln w="9525" cap="flat" cmpd="sng" algn="ctr">
              <a:solidFill>
                <a:schemeClr val="accent1">
                  <a:shade val="95000"/>
                </a:schemeClr>
              </a:solidFill>
              <a:round/>
            </a:ln>
            <a:effectLst/>
          </c:spPr>
          <c:invertIfNegative val="0"/>
          <c:dLbls>
            <c:dLbl>
              <c:idx val="0"/>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6"/>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B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ln>
              <a:effectLst/>
            </c:spPr>
          </c:errBars>
          <c:cat>
            <c:strRef>
              <c:f>alpl!$A$67:$B$83</c:f>
              <c:strCache>
                <c:ptCount val="17"/>
                <c:pt idx="0">
                  <c:v>B0</c:v>
                </c:pt>
                <c:pt idx="1">
                  <c:v>FB1</c:v>
                </c:pt>
                <c:pt idx="2">
                  <c:v>FB2</c:v>
                </c:pt>
                <c:pt idx="3">
                  <c:v>FB3</c:v>
                </c:pt>
                <c:pt idx="4">
                  <c:v>FB4</c:v>
                </c:pt>
                <c:pt idx="5">
                  <c:v>FB5</c:v>
                </c:pt>
                <c:pt idx="6">
                  <c:v>FB6</c:v>
                </c:pt>
                <c:pt idx="7">
                  <c:v>FB7</c:v>
                </c:pt>
                <c:pt idx="8">
                  <c:v>FB8</c:v>
                </c:pt>
                <c:pt idx="9">
                  <c:v>FB9</c:v>
                </c:pt>
                <c:pt idx="10">
                  <c:v>FB10</c:v>
                </c:pt>
                <c:pt idx="11">
                  <c:v>FB11</c:v>
                </c:pt>
                <c:pt idx="12">
                  <c:v>FB12</c:v>
                </c:pt>
                <c:pt idx="13">
                  <c:v>FB13</c:v>
                </c:pt>
                <c:pt idx="14">
                  <c:v>FB14</c:v>
                </c:pt>
                <c:pt idx="15">
                  <c:v>FB15</c:v>
                </c:pt>
                <c:pt idx="16">
                  <c:v>bio</c:v>
                </c:pt>
              </c:strCache>
            </c:strRef>
          </c:cat>
          <c:val>
            <c:numRef>
              <c:f>alpl!$C$67:$C$83</c:f>
              <c:numCache>
                <c:formatCode>General</c:formatCode>
                <c:ptCount val="17"/>
                <c:pt idx="0">
                  <c:v>20.1666667</c:v>
                </c:pt>
                <c:pt idx="1">
                  <c:v>27.8333333</c:v>
                </c:pt>
                <c:pt idx="2">
                  <c:v>20.6666667</c:v>
                </c:pt>
                <c:pt idx="3">
                  <c:v>22.6666667</c:v>
                </c:pt>
                <c:pt idx="4">
                  <c:v>20.6666667</c:v>
                </c:pt>
                <c:pt idx="5">
                  <c:v>27.5</c:v>
                </c:pt>
                <c:pt idx="6">
                  <c:v>23.3333333</c:v>
                </c:pt>
                <c:pt idx="7">
                  <c:v>25.5</c:v>
                </c:pt>
                <c:pt idx="8">
                  <c:v>20.6666667</c:v>
                </c:pt>
                <c:pt idx="9">
                  <c:v>24.3333333</c:v>
                </c:pt>
                <c:pt idx="10">
                  <c:v>22.1666667</c:v>
                </c:pt>
                <c:pt idx="11">
                  <c:v>21.1666667</c:v>
                </c:pt>
                <c:pt idx="12">
                  <c:v>28.6666667</c:v>
                </c:pt>
                <c:pt idx="13">
                  <c:v>21.1666667</c:v>
                </c:pt>
                <c:pt idx="14">
                  <c:v>24.6666667</c:v>
                </c:pt>
                <c:pt idx="15">
                  <c:v>21.8333333</c:v>
                </c:pt>
                <c:pt idx="16">
                  <c:v>29.8333333</c:v>
                </c:pt>
              </c:numCache>
            </c:numRef>
          </c:val>
        </c:ser>
        <c:dLbls>
          <c:dLblPos val="inEnd"/>
          <c:showLegendKey val="0"/>
          <c:showVal val="1"/>
          <c:showCatName val="0"/>
          <c:showSerName val="0"/>
          <c:showPercent val="0"/>
          <c:showBubbleSize val="0"/>
        </c:dLbls>
        <c:gapWidth val="100"/>
        <c:overlap val="-24"/>
        <c:axId val="340868768"/>
        <c:axId val="340868376"/>
      </c:barChart>
      <c:catAx>
        <c:axId val="340868768"/>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a:t>Bacterias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s-BO"/>
          </a:p>
        </c:txPr>
        <c:crossAx val="340868376"/>
        <c:crosses val="autoZero"/>
        <c:auto val="1"/>
        <c:lblAlgn val="ctr"/>
        <c:lblOffset val="100"/>
        <c:noMultiLvlLbl val="0"/>
      </c:catAx>
      <c:valAx>
        <c:axId val="340868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cap="all" baseline="0">
                    <a:solidFill>
                      <a:schemeClr val="tx1">
                        <a:lumMod val="50000"/>
                        <a:lumOff val="50000"/>
                      </a:schemeClr>
                    </a:solidFill>
                    <a:latin typeface="+mn-lt"/>
                    <a:ea typeface="+mn-ea"/>
                    <a:cs typeface="+mn-cs"/>
                  </a:defRPr>
                </a:pPr>
                <a:r>
                  <a:rPr lang="es-BO" sz="800"/>
                  <a:t>Altura de planta (</a:t>
                </a:r>
                <a:r>
                  <a:rPr lang="es-BO" sz="800" cap="none"/>
                  <a:t>cm</a:t>
                </a:r>
                <a:r>
                  <a:rPr lang="es-BO" sz="800"/>
                  <a:t>)</a:t>
                </a:r>
              </a:p>
            </c:rich>
          </c:tx>
          <c:layout>
            <c:manualLayout>
              <c:xMode val="edge"/>
              <c:yMode val="edge"/>
              <c:x val="4.0404040404040407E-2"/>
              <c:y val="0.13718518518518522"/>
            </c:manualLayout>
          </c:layout>
          <c:overlay val="0"/>
          <c:spPr>
            <a:noFill/>
            <a:ln>
              <a:noFill/>
            </a:ln>
            <a:effectLst/>
          </c:spPr>
          <c:txPr>
            <a:bodyPr rot="-5400000" spcFirstLastPara="1" vertOverflow="ellipsis" vert="horz" wrap="square" anchor="ctr" anchorCtr="1"/>
            <a:lstStyle/>
            <a:p>
              <a:pPr>
                <a:defRPr sz="8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s-BO"/>
          </a:p>
        </c:txPr>
        <c:crossAx val="340868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cap="none" spc="20" baseline="0">
                <a:solidFill>
                  <a:sysClr val="windowText" lastClr="000000">
                    <a:lumMod val="50000"/>
                    <a:lumOff val="50000"/>
                  </a:sysClr>
                </a:solidFill>
                <a:latin typeface="+mn-lt"/>
                <a:ea typeface="+mn-ea"/>
                <a:cs typeface="+mn-cs"/>
              </a:defRPr>
            </a:pPr>
            <a:r>
              <a:rPr lang="es-BO" sz="1100" b="0" i="0" baseline="0">
                <a:effectLst/>
              </a:rPr>
              <a:t>CON ROCA </a:t>
            </a:r>
            <a:r>
              <a:rPr lang="es-ES" sz="1100" b="0" i="0" baseline="0">
                <a:effectLst/>
              </a:rPr>
              <a:t>FOSFÓRICA</a:t>
            </a:r>
            <a:endParaRPr lang="es-BO" sz="1100">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cap="none" spc="20" baseline="0">
              <a:solidFill>
                <a:sysClr val="windowText" lastClr="000000">
                  <a:lumMod val="50000"/>
                  <a:lumOff val="50000"/>
                </a:sysClr>
              </a:solidFill>
              <a:latin typeface="+mn-lt"/>
              <a:ea typeface="+mn-ea"/>
              <a:cs typeface="+mn-cs"/>
            </a:defRPr>
          </a:pPr>
          <a:endParaRPr lang="es-BO"/>
        </a:p>
      </c:txPr>
    </c:title>
    <c:autoTitleDeleted val="0"/>
    <c:plotArea>
      <c:layout>
        <c:manualLayout>
          <c:layoutTarget val="inner"/>
          <c:xMode val="edge"/>
          <c:yMode val="edge"/>
          <c:x val="0.16702451176653765"/>
          <c:y val="0.22298039215686274"/>
          <c:w val="0.78777774812046797"/>
          <c:h val="0.4578286243631311"/>
        </c:manualLayout>
      </c:layout>
      <c:barChart>
        <c:barDir val="col"/>
        <c:grouping val="clustered"/>
        <c:varyColors val="0"/>
        <c:ser>
          <c:idx val="0"/>
          <c:order val="0"/>
          <c:spPr>
            <a:solidFill>
              <a:schemeClr val="accent1"/>
            </a:solidFill>
            <a:ln w="9525" cap="flat" cmpd="sng" algn="ctr">
              <a:solidFill>
                <a:schemeClr val="accent1">
                  <a:shade val="95000"/>
                </a:schemeClr>
              </a:solidFill>
              <a:round/>
            </a:ln>
            <a:effectLst/>
          </c:spPr>
          <c:invertIfNegative val="0"/>
          <c:dLbls>
            <c:dLbl>
              <c:idx val="0"/>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6"/>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B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ln>
              <a:effectLst/>
            </c:spPr>
          </c:errBars>
          <c:cat>
            <c:strRef>
              <c:f>lraiz!$F$48:$F$64</c:f>
              <c:strCache>
                <c:ptCount val="17"/>
                <c:pt idx="0">
                  <c:v>FB0</c:v>
                </c:pt>
                <c:pt idx="1">
                  <c:v>FB1</c:v>
                </c:pt>
                <c:pt idx="2">
                  <c:v>FB2</c:v>
                </c:pt>
                <c:pt idx="3">
                  <c:v>FB3</c:v>
                </c:pt>
                <c:pt idx="4">
                  <c:v>FB4</c:v>
                </c:pt>
                <c:pt idx="5">
                  <c:v>FB5</c:v>
                </c:pt>
                <c:pt idx="6">
                  <c:v>FB6</c:v>
                </c:pt>
                <c:pt idx="7">
                  <c:v>FB7</c:v>
                </c:pt>
                <c:pt idx="8">
                  <c:v>FB8</c:v>
                </c:pt>
                <c:pt idx="9">
                  <c:v>FB9</c:v>
                </c:pt>
                <c:pt idx="10">
                  <c:v>FB10</c:v>
                </c:pt>
                <c:pt idx="11">
                  <c:v>FB11</c:v>
                </c:pt>
                <c:pt idx="12">
                  <c:v>FB12</c:v>
                </c:pt>
                <c:pt idx="13">
                  <c:v>FB13</c:v>
                </c:pt>
                <c:pt idx="14">
                  <c:v>FB14</c:v>
                </c:pt>
                <c:pt idx="15">
                  <c:v>FB15</c:v>
                </c:pt>
                <c:pt idx="16">
                  <c:v>Bio</c:v>
                </c:pt>
              </c:strCache>
            </c:strRef>
          </c:cat>
          <c:val>
            <c:numRef>
              <c:f>lraiz!$G$48:$G$64</c:f>
              <c:numCache>
                <c:formatCode>General</c:formatCode>
                <c:ptCount val="17"/>
                <c:pt idx="0">
                  <c:v>29</c:v>
                </c:pt>
                <c:pt idx="1">
                  <c:v>53.3333333</c:v>
                </c:pt>
                <c:pt idx="2">
                  <c:v>47.5</c:v>
                </c:pt>
                <c:pt idx="3">
                  <c:v>46</c:v>
                </c:pt>
                <c:pt idx="4">
                  <c:v>39</c:v>
                </c:pt>
                <c:pt idx="5">
                  <c:v>52.6666667</c:v>
                </c:pt>
                <c:pt idx="6">
                  <c:v>50.3333333</c:v>
                </c:pt>
                <c:pt idx="7">
                  <c:v>43</c:v>
                </c:pt>
                <c:pt idx="8">
                  <c:v>52</c:v>
                </c:pt>
                <c:pt idx="9">
                  <c:v>55.3333333</c:v>
                </c:pt>
                <c:pt idx="10">
                  <c:v>49</c:v>
                </c:pt>
                <c:pt idx="11">
                  <c:v>48</c:v>
                </c:pt>
                <c:pt idx="12">
                  <c:v>56</c:v>
                </c:pt>
                <c:pt idx="13">
                  <c:v>45</c:v>
                </c:pt>
                <c:pt idx="14">
                  <c:v>50</c:v>
                </c:pt>
                <c:pt idx="15">
                  <c:v>37.6666667</c:v>
                </c:pt>
                <c:pt idx="16">
                  <c:v>35.6666667</c:v>
                </c:pt>
              </c:numCache>
            </c:numRef>
          </c:val>
        </c:ser>
        <c:dLbls>
          <c:dLblPos val="inEnd"/>
          <c:showLegendKey val="0"/>
          <c:showVal val="1"/>
          <c:showCatName val="0"/>
          <c:showSerName val="0"/>
          <c:showPercent val="0"/>
          <c:showBubbleSize val="0"/>
        </c:dLbls>
        <c:gapWidth val="100"/>
        <c:overlap val="-24"/>
        <c:axId val="347414272"/>
        <c:axId val="347414664"/>
      </c:barChart>
      <c:catAx>
        <c:axId val="34741427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a:t>Bacterias </a:t>
                </a:r>
              </a:p>
            </c:rich>
          </c:tx>
          <c:layout>
            <c:manualLayout>
              <c:xMode val="edge"/>
              <c:yMode val="edge"/>
              <c:x val="0.50158343220796031"/>
              <c:y val="0.8366878333756667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s-BO"/>
          </a:p>
        </c:txPr>
        <c:crossAx val="347414664"/>
        <c:crosses val="autoZero"/>
        <c:auto val="1"/>
        <c:lblAlgn val="ctr"/>
        <c:lblOffset val="100"/>
        <c:noMultiLvlLbl val="0"/>
      </c:catAx>
      <c:valAx>
        <c:axId val="347414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a:t>Longitud de Raiz (</a:t>
                </a:r>
                <a:r>
                  <a:rPr lang="es-BO" cap="none"/>
                  <a:t>cm</a:t>
                </a:r>
                <a:r>
                  <a:rPr lang="es-BO"/>
                  <a:t>)</a:t>
                </a:r>
              </a:p>
            </c:rich>
          </c:tx>
          <c:layout>
            <c:manualLayout>
              <c:xMode val="edge"/>
              <c:yMode val="edge"/>
              <c:x val="3.1638418079096044E-2"/>
              <c:y val="0.1288627450980392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BO"/>
          </a:p>
        </c:txPr>
        <c:crossAx val="347414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lraiz!$B$39</c:f>
              <c:strCache>
                <c:ptCount val="1"/>
                <c:pt idx="0">
                  <c:v>lraiz LSMEAN</c:v>
                </c:pt>
              </c:strCache>
            </c:strRef>
          </c:tx>
          <c:spPr>
            <a:solidFill>
              <a:schemeClr val="accent2"/>
            </a:solidFill>
            <a:ln w="9525" cap="flat" cmpd="sng" algn="ctr">
              <a:solidFill>
                <a:schemeClr val="accent1">
                  <a:shade val="95000"/>
                </a:schemeClr>
              </a:solidFill>
              <a:round/>
            </a:ln>
            <a:effectLst/>
          </c:spPr>
          <c:invertIfNegative val="0"/>
          <c:dPt>
            <c:idx val="0"/>
            <c:invertIfNegative val="0"/>
            <c:bubble3D val="0"/>
            <c:spPr>
              <a:solidFill>
                <a:schemeClr val="accent1"/>
              </a:solidFill>
              <a:ln w="9525" cap="flat" cmpd="sng" algn="ctr">
                <a:solidFill>
                  <a:schemeClr val="accent1">
                    <a:shade val="95000"/>
                  </a:schemeClr>
                </a:solidFill>
                <a:round/>
              </a:ln>
              <a:effectLst/>
            </c:spPr>
          </c:dPt>
          <c:dLbls>
            <c:dLbl>
              <c:idx val="0"/>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B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ln>
              <a:effectLst/>
            </c:spPr>
          </c:errBars>
          <c:cat>
            <c:strRef>
              <c:f>lraiz!$A$40:$A$41</c:f>
              <c:strCache>
                <c:ptCount val="2"/>
                <c:pt idx="0">
                  <c:v>con</c:v>
                </c:pt>
                <c:pt idx="1">
                  <c:v>sin</c:v>
                </c:pt>
              </c:strCache>
            </c:strRef>
          </c:cat>
          <c:val>
            <c:numRef>
              <c:f>lraiz!$B$40:$B$41</c:f>
              <c:numCache>
                <c:formatCode>General</c:formatCode>
                <c:ptCount val="2"/>
                <c:pt idx="0">
                  <c:v>46.931372500000002</c:v>
                </c:pt>
                <c:pt idx="1">
                  <c:v>37.303921600000002</c:v>
                </c:pt>
              </c:numCache>
            </c:numRef>
          </c:val>
          <c:extLst xmlns:c16r2="http://schemas.microsoft.com/office/drawing/2015/06/chart">
            <c:ext xmlns:c16="http://schemas.microsoft.com/office/drawing/2014/chart" uri="{C3380CC4-5D6E-409C-BE32-E72D297353CC}">
              <c16:uniqueId val="{00000002-D984-4303-A902-4D4D54898BDE}"/>
            </c:ext>
          </c:extLst>
        </c:ser>
        <c:dLbls>
          <c:dLblPos val="inEnd"/>
          <c:showLegendKey val="0"/>
          <c:showVal val="1"/>
          <c:showCatName val="0"/>
          <c:showSerName val="0"/>
          <c:showPercent val="0"/>
          <c:showBubbleSize val="0"/>
        </c:dLbls>
        <c:gapWidth val="100"/>
        <c:overlap val="-24"/>
        <c:axId val="347412704"/>
        <c:axId val="347412312"/>
      </c:barChart>
      <c:catAx>
        <c:axId val="34741270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Roca Fosforica</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BO"/>
          </a:p>
        </c:txPr>
        <c:crossAx val="347412312"/>
        <c:crosses val="autoZero"/>
        <c:auto val="1"/>
        <c:lblAlgn val="ctr"/>
        <c:lblOffset val="100"/>
        <c:noMultiLvlLbl val="0"/>
      </c:catAx>
      <c:valAx>
        <c:axId val="347412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cap="all" baseline="0">
                    <a:solidFill>
                      <a:schemeClr val="tx1">
                        <a:lumMod val="50000"/>
                        <a:lumOff val="50000"/>
                      </a:schemeClr>
                    </a:solidFill>
                    <a:latin typeface="+mn-lt"/>
                    <a:ea typeface="+mn-ea"/>
                    <a:cs typeface="+mn-cs"/>
                  </a:defRPr>
                </a:pPr>
                <a:r>
                  <a:rPr lang="en-US" sz="800"/>
                  <a:t>longitud de la raiz (</a:t>
                </a:r>
                <a:r>
                  <a:rPr lang="en-US" sz="800" cap="none"/>
                  <a:t>cm</a:t>
                </a:r>
                <a:r>
                  <a:rPr lang="en-US" sz="800"/>
                  <a:t>)</a:t>
                </a:r>
              </a:p>
            </c:rich>
          </c:tx>
          <c:overlay val="0"/>
          <c:spPr>
            <a:noFill/>
            <a:ln>
              <a:noFill/>
            </a:ln>
            <a:effectLst/>
          </c:spPr>
          <c:txPr>
            <a:bodyPr rot="-5400000" spcFirstLastPara="1" vertOverflow="ellipsis" vert="horz" wrap="square" anchor="ctr" anchorCtr="1"/>
            <a:lstStyle/>
            <a:p>
              <a:pPr>
                <a:defRPr sz="8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BO"/>
          </a:p>
        </c:txPr>
        <c:crossAx val="347412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n-lt"/>
                <a:ea typeface="+mn-ea"/>
                <a:cs typeface="+mn-cs"/>
              </a:defRPr>
            </a:pPr>
            <a:r>
              <a:rPr lang="es-BO" sz="1100"/>
              <a:t>SIN ROCA </a:t>
            </a:r>
            <a:r>
              <a:rPr lang="es-ES" sz="1100" b="0" i="0" u="none" strike="noStrike" cap="none" baseline="0">
                <a:effectLst/>
              </a:rPr>
              <a:t>FOSFÓRICA</a:t>
            </a:r>
            <a:endParaRPr lang="es-BO" sz="1100"/>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n-lt"/>
              <a:ea typeface="+mn-ea"/>
              <a:cs typeface="+mn-cs"/>
            </a:defRPr>
          </a:pPr>
          <a:endParaRPr lang="es-BO"/>
        </a:p>
      </c:txPr>
    </c:title>
    <c:autoTitleDeleted val="0"/>
    <c:plotArea>
      <c:layout>
        <c:manualLayout>
          <c:layoutTarget val="inner"/>
          <c:xMode val="edge"/>
          <c:yMode val="edge"/>
          <c:x val="0.16646023976732638"/>
          <c:y val="0.19048611111111111"/>
          <c:w val="0.77498120167411511"/>
          <c:h val="0.51995242782152229"/>
        </c:manualLayout>
      </c:layout>
      <c:barChart>
        <c:barDir val="col"/>
        <c:grouping val="clustered"/>
        <c:varyColors val="0"/>
        <c:ser>
          <c:idx val="0"/>
          <c:order val="0"/>
          <c:spPr>
            <a:solidFill>
              <a:schemeClr val="accent2"/>
            </a:solidFill>
            <a:ln w="9525" cap="flat" cmpd="sng" algn="ctr">
              <a:solidFill>
                <a:schemeClr val="accent1">
                  <a:shade val="95000"/>
                </a:schemeClr>
              </a:solidFill>
              <a:round/>
            </a:ln>
            <a:effectLst/>
          </c:spPr>
          <c:invertIfNegative val="0"/>
          <c:dLbls>
            <c:dLbl>
              <c:idx val="0"/>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6"/>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B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ln>
              <a:effectLst/>
            </c:spPr>
          </c:errBars>
          <c:cat>
            <c:strRef>
              <c:f>prf!$E$87:$E$103</c:f>
              <c:strCache>
                <c:ptCount val="17"/>
                <c:pt idx="0">
                  <c:v>B0</c:v>
                </c:pt>
                <c:pt idx="1">
                  <c:v>FB1</c:v>
                </c:pt>
                <c:pt idx="2">
                  <c:v>FB2</c:v>
                </c:pt>
                <c:pt idx="3">
                  <c:v>FB3</c:v>
                </c:pt>
                <c:pt idx="4">
                  <c:v>FB4</c:v>
                </c:pt>
                <c:pt idx="5">
                  <c:v>FB5</c:v>
                </c:pt>
                <c:pt idx="6">
                  <c:v>FB6</c:v>
                </c:pt>
                <c:pt idx="7">
                  <c:v>FB7</c:v>
                </c:pt>
                <c:pt idx="8">
                  <c:v>FB8</c:v>
                </c:pt>
                <c:pt idx="9">
                  <c:v>FB9</c:v>
                </c:pt>
                <c:pt idx="10">
                  <c:v>FB10</c:v>
                </c:pt>
                <c:pt idx="11">
                  <c:v>FB11</c:v>
                </c:pt>
                <c:pt idx="12">
                  <c:v>FB12</c:v>
                </c:pt>
                <c:pt idx="13">
                  <c:v>FB13</c:v>
                </c:pt>
                <c:pt idx="14">
                  <c:v>FB14</c:v>
                </c:pt>
                <c:pt idx="15">
                  <c:v>FB15</c:v>
                </c:pt>
                <c:pt idx="16">
                  <c:v>Bio</c:v>
                </c:pt>
              </c:strCache>
            </c:strRef>
          </c:cat>
          <c:val>
            <c:numRef>
              <c:f>prf!$F$87:$F$103</c:f>
              <c:numCache>
                <c:formatCode>General</c:formatCode>
                <c:ptCount val="17"/>
                <c:pt idx="0">
                  <c:v>4</c:v>
                </c:pt>
                <c:pt idx="1">
                  <c:v>5</c:v>
                </c:pt>
                <c:pt idx="2">
                  <c:v>7.6666667000000004</c:v>
                </c:pt>
                <c:pt idx="3">
                  <c:v>6</c:v>
                </c:pt>
                <c:pt idx="4">
                  <c:v>9</c:v>
                </c:pt>
                <c:pt idx="5">
                  <c:v>11.3333333</c:v>
                </c:pt>
                <c:pt idx="6">
                  <c:v>8.6666667000000004</c:v>
                </c:pt>
                <c:pt idx="7">
                  <c:v>8</c:v>
                </c:pt>
                <c:pt idx="8">
                  <c:v>9.6666667000000004</c:v>
                </c:pt>
                <c:pt idx="9">
                  <c:v>7.3333332999999996</c:v>
                </c:pt>
                <c:pt idx="10">
                  <c:v>9.6666667000000004</c:v>
                </c:pt>
                <c:pt idx="11">
                  <c:v>8</c:v>
                </c:pt>
                <c:pt idx="12">
                  <c:v>16.3333333</c:v>
                </c:pt>
                <c:pt idx="13">
                  <c:v>4.3333332999999996</c:v>
                </c:pt>
                <c:pt idx="14">
                  <c:v>10.6666667</c:v>
                </c:pt>
                <c:pt idx="15">
                  <c:v>8.6666667000000004</c:v>
                </c:pt>
                <c:pt idx="16">
                  <c:v>10</c:v>
                </c:pt>
              </c:numCache>
            </c:numRef>
          </c:val>
        </c:ser>
        <c:dLbls>
          <c:dLblPos val="inEnd"/>
          <c:showLegendKey val="0"/>
          <c:showVal val="1"/>
          <c:showCatName val="0"/>
          <c:showSerName val="0"/>
          <c:showPercent val="0"/>
          <c:showBubbleSize val="0"/>
        </c:dLbls>
        <c:gapWidth val="100"/>
        <c:overlap val="-24"/>
        <c:axId val="347413096"/>
        <c:axId val="347411920"/>
      </c:barChart>
      <c:catAx>
        <c:axId val="34741309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a:t>Bacterias</a:t>
                </a:r>
              </a:p>
            </c:rich>
          </c:tx>
          <c:layout>
            <c:manualLayout>
              <c:xMode val="edge"/>
              <c:yMode val="edge"/>
              <c:x val="0.45443498616726957"/>
              <c:y val="0.8820483377077865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s-BO"/>
          </a:p>
        </c:txPr>
        <c:crossAx val="347411920"/>
        <c:crosses val="autoZero"/>
        <c:auto val="1"/>
        <c:lblAlgn val="ctr"/>
        <c:lblOffset val="100"/>
        <c:noMultiLvlLbl val="0"/>
      </c:catAx>
      <c:valAx>
        <c:axId val="347411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a:t>peso fresco de raiz (</a:t>
                </a:r>
                <a:r>
                  <a:rPr lang="es-BO" cap="none"/>
                  <a:t>gr</a:t>
                </a:r>
                <a:r>
                  <a:rPr lang="es-BO"/>
                  <a:t>)</a:t>
                </a:r>
              </a:p>
            </c:rich>
          </c:tx>
          <c:layout>
            <c:manualLayout>
              <c:xMode val="edge"/>
              <c:yMode val="edge"/>
              <c:x val="2.2522522522522521E-2"/>
              <c:y val="0.1557638888888889"/>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BO"/>
          </a:p>
        </c:txPr>
        <c:crossAx val="347413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n-lt"/>
                <a:ea typeface="+mn-ea"/>
                <a:cs typeface="+mn-cs"/>
              </a:defRPr>
            </a:pPr>
            <a:r>
              <a:rPr lang="es-BO" sz="1100"/>
              <a:t>CON ROCA </a:t>
            </a:r>
            <a:r>
              <a:rPr lang="es-ES" sz="1100" b="0" i="0" u="none" strike="noStrike" cap="none" baseline="0">
                <a:effectLst/>
              </a:rPr>
              <a:t>FOSFÓRICA</a:t>
            </a:r>
            <a:r>
              <a:rPr lang="es-BO" sz="1100"/>
              <a:t> </a:t>
            </a:r>
          </a:p>
        </c:rich>
      </c:tx>
      <c:layout>
        <c:manualLayout>
          <c:xMode val="edge"/>
          <c:yMode val="edge"/>
          <c:x val="0.24565846794923826"/>
          <c:y val="3.6231884057971016E-2"/>
        </c:manualLayout>
      </c:layout>
      <c:overlay val="0"/>
      <c:spPr>
        <a:noFill/>
        <a:ln>
          <a:noFill/>
        </a:ln>
        <a:effectLst/>
      </c:spPr>
      <c:txPr>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n-lt"/>
              <a:ea typeface="+mn-ea"/>
              <a:cs typeface="+mn-cs"/>
            </a:defRPr>
          </a:pPr>
          <a:endParaRPr lang="es-BO"/>
        </a:p>
      </c:txPr>
    </c:title>
    <c:autoTitleDeleted val="0"/>
    <c:plotArea>
      <c:layout>
        <c:manualLayout>
          <c:layoutTarget val="inner"/>
          <c:xMode val="edge"/>
          <c:yMode val="edge"/>
          <c:x val="0.18306608581143852"/>
          <c:y val="0.2205072463768116"/>
          <c:w val="0.76195109631914548"/>
          <c:h val="0.48726977062649779"/>
        </c:manualLayout>
      </c:layout>
      <c:barChart>
        <c:barDir val="col"/>
        <c:grouping val="clustered"/>
        <c:varyColors val="0"/>
        <c:ser>
          <c:idx val="0"/>
          <c:order val="0"/>
          <c:spPr>
            <a:solidFill>
              <a:schemeClr val="accent1"/>
            </a:solidFill>
            <a:ln w="9525" cap="flat" cmpd="sng" algn="ctr">
              <a:solidFill>
                <a:schemeClr val="accent1">
                  <a:shade val="95000"/>
                </a:schemeClr>
              </a:solidFill>
              <a:round/>
            </a:ln>
            <a:effectLst/>
          </c:spPr>
          <c:invertIfNegative val="0"/>
          <c:dLbls>
            <c:dLbl>
              <c:idx val="0"/>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6"/>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B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ln>
              <a:effectLst/>
            </c:spPr>
          </c:errBars>
          <c:cat>
            <c:strRef>
              <c:f>prf!$F$50:$F$66</c:f>
              <c:strCache>
                <c:ptCount val="17"/>
                <c:pt idx="0">
                  <c:v>B0</c:v>
                </c:pt>
                <c:pt idx="1">
                  <c:v>FB1</c:v>
                </c:pt>
                <c:pt idx="2">
                  <c:v>FB2</c:v>
                </c:pt>
                <c:pt idx="3">
                  <c:v>FB3</c:v>
                </c:pt>
                <c:pt idx="4">
                  <c:v>FB4</c:v>
                </c:pt>
                <c:pt idx="5">
                  <c:v>FB5</c:v>
                </c:pt>
                <c:pt idx="6">
                  <c:v>FB6</c:v>
                </c:pt>
                <c:pt idx="7">
                  <c:v>FB7</c:v>
                </c:pt>
                <c:pt idx="8">
                  <c:v>FB8</c:v>
                </c:pt>
                <c:pt idx="9">
                  <c:v>FB9</c:v>
                </c:pt>
                <c:pt idx="10">
                  <c:v>FB10</c:v>
                </c:pt>
                <c:pt idx="11">
                  <c:v>FB11</c:v>
                </c:pt>
                <c:pt idx="12">
                  <c:v>FB12</c:v>
                </c:pt>
                <c:pt idx="13">
                  <c:v>FB13</c:v>
                </c:pt>
                <c:pt idx="14">
                  <c:v>FB14</c:v>
                </c:pt>
                <c:pt idx="15">
                  <c:v>FB15</c:v>
                </c:pt>
                <c:pt idx="16">
                  <c:v>Bio</c:v>
                </c:pt>
              </c:strCache>
            </c:strRef>
          </c:cat>
          <c:val>
            <c:numRef>
              <c:f>prf!$G$50:$G$66</c:f>
              <c:numCache>
                <c:formatCode>General</c:formatCode>
                <c:ptCount val="17"/>
                <c:pt idx="0">
                  <c:v>6.6666667000000004</c:v>
                </c:pt>
                <c:pt idx="1">
                  <c:v>12</c:v>
                </c:pt>
                <c:pt idx="2">
                  <c:v>15.3333333</c:v>
                </c:pt>
                <c:pt idx="3">
                  <c:v>8.3333332999999996</c:v>
                </c:pt>
                <c:pt idx="4">
                  <c:v>16.6666667</c:v>
                </c:pt>
                <c:pt idx="5">
                  <c:v>14</c:v>
                </c:pt>
                <c:pt idx="6">
                  <c:v>15.3333333</c:v>
                </c:pt>
                <c:pt idx="7">
                  <c:v>15</c:v>
                </c:pt>
                <c:pt idx="8">
                  <c:v>9.3333332999999996</c:v>
                </c:pt>
                <c:pt idx="9">
                  <c:v>7</c:v>
                </c:pt>
                <c:pt idx="10">
                  <c:v>17</c:v>
                </c:pt>
                <c:pt idx="11">
                  <c:v>16.6666667</c:v>
                </c:pt>
                <c:pt idx="12">
                  <c:v>17.6666667</c:v>
                </c:pt>
                <c:pt idx="13">
                  <c:v>15.6666667</c:v>
                </c:pt>
                <c:pt idx="14">
                  <c:v>12.6666667</c:v>
                </c:pt>
                <c:pt idx="15">
                  <c:v>15</c:v>
                </c:pt>
                <c:pt idx="16">
                  <c:v>10</c:v>
                </c:pt>
              </c:numCache>
            </c:numRef>
          </c:val>
        </c:ser>
        <c:dLbls>
          <c:dLblPos val="inEnd"/>
          <c:showLegendKey val="0"/>
          <c:showVal val="1"/>
          <c:showCatName val="0"/>
          <c:showSerName val="0"/>
          <c:showPercent val="0"/>
          <c:showBubbleSize val="0"/>
        </c:dLbls>
        <c:gapWidth val="100"/>
        <c:overlap val="-24"/>
        <c:axId val="340684456"/>
        <c:axId val="340678576"/>
      </c:barChart>
      <c:catAx>
        <c:axId val="34068445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a:t>Bacterias</a:t>
                </a:r>
              </a:p>
            </c:rich>
          </c:tx>
          <c:layout>
            <c:manualLayout>
              <c:xMode val="edge"/>
              <c:yMode val="edge"/>
              <c:x val="0.46968891775126048"/>
              <c:y val="0.8696736277530525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s-BO"/>
          </a:p>
        </c:txPr>
        <c:crossAx val="340678576"/>
        <c:crosses val="autoZero"/>
        <c:auto val="1"/>
        <c:lblAlgn val="ctr"/>
        <c:lblOffset val="100"/>
        <c:noMultiLvlLbl val="0"/>
      </c:catAx>
      <c:valAx>
        <c:axId val="340678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a:t>Peso Fresco de Raiz (</a:t>
                </a:r>
                <a:r>
                  <a:rPr lang="es-BO" cap="none"/>
                  <a:t>gr</a:t>
                </a:r>
                <a:r>
                  <a:rPr lang="es-BO"/>
                  <a:t>)</a:t>
                </a:r>
              </a:p>
            </c:rich>
          </c:tx>
          <c:layout>
            <c:manualLayout>
              <c:xMode val="edge"/>
              <c:yMode val="edge"/>
              <c:x val="2.7397260273972601E-2"/>
              <c:y val="0.14637522768670311"/>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BO"/>
          </a:p>
        </c:txPr>
        <c:crossAx val="340684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27159921477158"/>
          <c:y val="0.10603870655645006"/>
          <c:w val="0.77383501510333286"/>
          <c:h val="0.71225358972096098"/>
        </c:manualLayout>
      </c:layout>
      <c:barChart>
        <c:barDir val="col"/>
        <c:grouping val="clustered"/>
        <c:varyColors val="0"/>
        <c:ser>
          <c:idx val="0"/>
          <c:order val="0"/>
          <c:tx>
            <c:strRef>
              <c:f>prf!$B$40</c:f>
              <c:strCache>
                <c:ptCount val="1"/>
                <c:pt idx="0">
                  <c:v>prf LSMEAN</c:v>
                </c:pt>
              </c:strCache>
            </c:strRef>
          </c:tx>
          <c:spPr>
            <a:solidFill>
              <a:schemeClr val="accent2"/>
            </a:solidFill>
            <a:ln w="9525" cap="flat" cmpd="sng" algn="ctr">
              <a:solidFill>
                <a:schemeClr val="accent1">
                  <a:shade val="95000"/>
                </a:schemeClr>
              </a:solidFill>
              <a:round/>
            </a:ln>
            <a:effectLst/>
          </c:spPr>
          <c:invertIfNegative val="0"/>
          <c:dPt>
            <c:idx val="0"/>
            <c:invertIfNegative val="0"/>
            <c:bubble3D val="0"/>
            <c:spPr>
              <a:solidFill>
                <a:schemeClr val="accent1"/>
              </a:solidFill>
              <a:ln w="9525" cap="flat" cmpd="sng" algn="ctr">
                <a:solidFill>
                  <a:schemeClr val="accent1">
                    <a:shade val="95000"/>
                  </a:schemeClr>
                </a:solidFill>
                <a:round/>
              </a:ln>
              <a:effectLst/>
            </c:spPr>
          </c:dPt>
          <c:dLbls>
            <c:dLbl>
              <c:idx val="0"/>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B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ln>
              <a:effectLst/>
            </c:spPr>
          </c:errBars>
          <c:cat>
            <c:strRef>
              <c:f>prf!$A$41:$A$42</c:f>
              <c:strCache>
                <c:ptCount val="2"/>
                <c:pt idx="0">
                  <c:v>con</c:v>
                </c:pt>
                <c:pt idx="1">
                  <c:v>sin</c:v>
                </c:pt>
              </c:strCache>
            </c:strRef>
          </c:cat>
          <c:val>
            <c:numRef>
              <c:f>prf!$B$41:$B$42</c:f>
              <c:numCache>
                <c:formatCode>General</c:formatCode>
                <c:ptCount val="2"/>
                <c:pt idx="0">
                  <c:v>13.196078399999999</c:v>
                </c:pt>
                <c:pt idx="1">
                  <c:v>8.4901961000000004</c:v>
                </c:pt>
              </c:numCache>
            </c:numRef>
          </c:val>
          <c:extLst xmlns:c16r2="http://schemas.microsoft.com/office/drawing/2015/06/chart">
            <c:ext xmlns:c16="http://schemas.microsoft.com/office/drawing/2014/chart" uri="{C3380CC4-5D6E-409C-BE32-E72D297353CC}">
              <c16:uniqueId val="{00000002-83A2-425D-81B1-6340BC14BF69}"/>
            </c:ext>
          </c:extLst>
        </c:ser>
        <c:dLbls>
          <c:dLblPos val="inEnd"/>
          <c:showLegendKey val="0"/>
          <c:showVal val="1"/>
          <c:showCatName val="0"/>
          <c:showSerName val="0"/>
          <c:showPercent val="0"/>
          <c:showBubbleSize val="0"/>
        </c:dLbls>
        <c:gapWidth val="100"/>
        <c:overlap val="-24"/>
        <c:axId val="340683672"/>
        <c:axId val="340682104"/>
      </c:barChart>
      <c:catAx>
        <c:axId val="34068367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Roca fosforica</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BO"/>
          </a:p>
        </c:txPr>
        <c:crossAx val="340682104"/>
        <c:crosses val="autoZero"/>
        <c:auto val="1"/>
        <c:lblAlgn val="ctr"/>
        <c:lblOffset val="100"/>
        <c:noMultiLvlLbl val="0"/>
      </c:catAx>
      <c:valAx>
        <c:axId val="340682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sz="900" b="0"/>
                  <a:t>Peso radicular</a:t>
                </a:r>
                <a:r>
                  <a:rPr lang="en-US" sz="900" b="0" baseline="0"/>
                  <a:t> </a:t>
                </a:r>
                <a:r>
                  <a:rPr lang="en-US" sz="900" b="0"/>
                  <a:t>fresco (</a:t>
                </a:r>
                <a:r>
                  <a:rPr lang="en-US" sz="900" b="0" cap="none"/>
                  <a:t>gr</a:t>
                </a:r>
                <a:r>
                  <a:rPr lang="en-US" sz="900" b="0"/>
                  <a:t>)</a:t>
                </a:r>
              </a:p>
            </c:rich>
          </c:tx>
          <c:layout>
            <c:manualLayout>
              <c:xMode val="edge"/>
              <c:yMode val="edge"/>
              <c:x val="9.1996320147194107E-3"/>
              <c:y val="0.27316591652693473"/>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BO"/>
          </a:p>
        </c:txPr>
        <c:crossAx val="340683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BO" sz="1000"/>
              <a:t>CON ROCA </a:t>
            </a:r>
            <a:r>
              <a:rPr lang="es-ES" sz="1000"/>
              <a:t>FOSFÓRICA</a:t>
            </a:r>
            <a:r>
              <a:rPr lang="es-BO" sz="1000"/>
              <a:t>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BO"/>
        </a:p>
      </c:txPr>
    </c:title>
    <c:autoTitleDeleted val="0"/>
    <c:plotArea>
      <c:layout>
        <c:manualLayout>
          <c:layoutTarget val="inner"/>
          <c:xMode val="edge"/>
          <c:yMode val="edge"/>
          <c:x val="0.18708661417322833"/>
          <c:y val="0.18567248154754137"/>
          <c:w val="0.7638609889482878"/>
          <c:h val="0.49621844230797119"/>
        </c:manualLayout>
      </c:layout>
      <c:barChart>
        <c:barDir val="col"/>
        <c:grouping val="clustered"/>
        <c:varyColors val="0"/>
        <c:ser>
          <c:idx val="0"/>
          <c:order val="0"/>
          <c:spPr>
            <a:solidFill>
              <a:schemeClr val="accent1"/>
            </a:solidFill>
            <a:ln w="9525" cap="flat" cmpd="sng" algn="ctr">
              <a:solidFill>
                <a:schemeClr val="accent1"/>
              </a:solidFill>
              <a:round/>
            </a:ln>
            <a:effectLst/>
          </c:spPr>
          <c:invertIfNegative val="0"/>
          <c:dLbls>
            <c:dLbl>
              <c:idx val="0"/>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6"/>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B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ln>
              <a:effectLst/>
            </c:spPr>
          </c:errBars>
          <c:cat>
            <c:strRef>
              <c:f>alpl!$A$48:$B$64</c:f>
              <c:strCache>
                <c:ptCount val="17"/>
                <c:pt idx="0">
                  <c:v>B0</c:v>
                </c:pt>
                <c:pt idx="1">
                  <c:v>FB1</c:v>
                </c:pt>
                <c:pt idx="2">
                  <c:v>FB2</c:v>
                </c:pt>
                <c:pt idx="3">
                  <c:v>FB3</c:v>
                </c:pt>
                <c:pt idx="4">
                  <c:v>FB4</c:v>
                </c:pt>
                <c:pt idx="5">
                  <c:v>FB5</c:v>
                </c:pt>
                <c:pt idx="6">
                  <c:v>FB6</c:v>
                </c:pt>
                <c:pt idx="7">
                  <c:v>FB7</c:v>
                </c:pt>
                <c:pt idx="8">
                  <c:v>FB8</c:v>
                </c:pt>
                <c:pt idx="9">
                  <c:v>FB9</c:v>
                </c:pt>
                <c:pt idx="10">
                  <c:v>FB10</c:v>
                </c:pt>
                <c:pt idx="11">
                  <c:v>FB11</c:v>
                </c:pt>
                <c:pt idx="12">
                  <c:v>FB12</c:v>
                </c:pt>
                <c:pt idx="13">
                  <c:v>FB13</c:v>
                </c:pt>
                <c:pt idx="14">
                  <c:v>FB14</c:v>
                </c:pt>
                <c:pt idx="15">
                  <c:v>FB15</c:v>
                </c:pt>
                <c:pt idx="16">
                  <c:v>Bio</c:v>
                </c:pt>
              </c:strCache>
            </c:strRef>
          </c:cat>
          <c:val>
            <c:numRef>
              <c:f>alpl!$C$48:$C$64</c:f>
              <c:numCache>
                <c:formatCode>General</c:formatCode>
                <c:ptCount val="17"/>
                <c:pt idx="0">
                  <c:v>19.1666667</c:v>
                </c:pt>
                <c:pt idx="1">
                  <c:v>29</c:v>
                </c:pt>
                <c:pt idx="2">
                  <c:v>19.3333333</c:v>
                </c:pt>
                <c:pt idx="3">
                  <c:v>32.5</c:v>
                </c:pt>
                <c:pt idx="4">
                  <c:v>30</c:v>
                </c:pt>
                <c:pt idx="5">
                  <c:v>35.8333333</c:v>
                </c:pt>
                <c:pt idx="6">
                  <c:v>25.3333333</c:v>
                </c:pt>
                <c:pt idx="7">
                  <c:v>30.1666667</c:v>
                </c:pt>
                <c:pt idx="8">
                  <c:v>24</c:v>
                </c:pt>
                <c:pt idx="9">
                  <c:v>20.1666667</c:v>
                </c:pt>
                <c:pt idx="10">
                  <c:v>31.6666667</c:v>
                </c:pt>
                <c:pt idx="11">
                  <c:v>25</c:v>
                </c:pt>
                <c:pt idx="12">
                  <c:v>48.3333333</c:v>
                </c:pt>
                <c:pt idx="13">
                  <c:v>31.3333333</c:v>
                </c:pt>
                <c:pt idx="14">
                  <c:v>23.6666667</c:v>
                </c:pt>
                <c:pt idx="15">
                  <c:v>23.8333333</c:v>
                </c:pt>
                <c:pt idx="16">
                  <c:v>28.5</c:v>
                </c:pt>
              </c:numCache>
            </c:numRef>
          </c:val>
        </c:ser>
        <c:dLbls>
          <c:dLblPos val="inEnd"/>
          <c:showLegendKey val="0"/>
          <c:showVal val="1"/>
          <c:showCatName val="0"/>
          <c:showSerName val="0"/>
          <c:showPercent val="0"/>
          <c:showBubbleSize val="0"/>
        </c:dLbls>
        <c:gapWidth val="100"/>
        <c:overlap val="-24"/>
        <c:axId val="340867200"/>
        <c:axId val="340866808"/>
      </c:barChart>
      <c:catAx>
        <c:axId val="34086720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a:t>Bacterias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s-BO"/>
          </a:p>
        </c:txPr>
        <c:crossAx val="340866808"/>
        <c:crosses val="autoZero"/>
        <c:auto val="1"/>
        <c:lblAlgn val="ctr"/>
        <c:lblOffset val="100"/>
        <c:noMultiLvlLbl val="0"/>
      </c:catAx>
      <c:valAx>
        <c:axId val="340866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a:t>Altura de Planta (</a:t>
                </a:r>
                <a:r>
                  <a:rPr lang="es-BO" cap="none"/>
                  <a:t>cm</a:t>
                </a:r>
                <a:r>
                  <a:rPr lang="es-BO"/>
                  <a:t>)</a:t>
                </a:r>
              </a:p>
            </c:rich>
          </c:tx>
          <c:layout>
            <c:manualLayout>
              <c:xMode val="edge"/>
              <c:yMode val="edge"/>
              <c:x val="4.9052396878483832E-2"/>
              <c:y val="9.6427255985267066E-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BO"/>
          </a:p>
        </c:txPr>
        <c:crossAx val="34086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alpl!$B$38</c:f>
              <c:strCache>
                <c:ptCount val="1"/>
                <c:pt idx="0">
                  <c:v>alpl LSMEAN</c:v>
                </c:pt>
              </c:strCache>
            </c:strRef>
          </c:tx>
          <c:spPr>
            <a:solidFill>
              <a:schemeClr val="accent2"/>
            </a:solidFill>
            <a:ln w="9525" cap="flat" cmpd="sng" algn="ctr">
              <a:solidFill>
                <a:schemeClr val="accent1">
                  <a:shade val="95000"/>
                </a:schemeClr>
              </a:solidFill>
              <a:round/>
            </a:ln>
            <a:effectLst/>
          </c:spPr>
          <c:invertIfNegative val="0"/>
          <c:dPt>
            <c:idx val="0"/>
            <c:invertIfNegative val="0"/>
            <c:bubble3D val="0"/>
            <c:spPr>
              <a:solidFill>
                <a:schemeClr val="accent1"/>
              </a:solidFill>
              <a:ln w="9525" cap="flat" cmpd="sng" algn="ctr">
                <a:solidFill>
                  <a:schemeClr val="accent1">
                    <a:shade val="95000"/>
                  </a:schemeClr>
                </a:solidFill>
                <a:round/>
              </a:ln>
              <a:effectLst/>
            </c:spPr>
          </c:dPt>
          <c:dLbls>
            <c:dLbl>
              <c:idx val="0"/>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B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ln>
              <a:effectLst/>
            </c:spPr>
          </c:errBars>
          <c:cat>
            <c:strRef>
              <c:f>alpl!$A$39:$A$40</c:f>
              <c:strCache>
                <c:ptCount val="2"/>
                <c:pt idx="0">
                  <c:v>con</c:v>
                </c:pt>
                <c:pt idx="1">
                  <c:v>sin</c:v>
                </c:pt>
              </c:strCache>
            </c:strRef>
          </c:cat>
          <c:val>
            <c:numRef>
              <c:f>alpl!$B$39:$B$40</c:f>
              <c:numCache>
                <c:formatCode>General</c:formatCode>
                <c:ptCount val="2"/>
                <c:pt idx="0">
                  <c:v>27.990196099999999</c:v>
                </c:pt>
                <c:pt idx="1">
                  <c:v>23.696078400000001</c:v>
                </c:pt>
              </c:numCache>
            </c:numRef>
          </c:val>
          <c:extLst xmlns:c16r2="http://schemas.microsoft.com/office/drawing/2015/06/chart">
            <c:ext xmlns:c16="http://schemas.microsoft.com/office/drawing/2014/chart" uri="{C3380CC4-5D6E-409C-BE32-E72D297353CC}">
              <c16:uniqueId val="{00000000-00C9-43ED-A313-746641A2E529}"/>
            </c:ext>
          </c:extLst>
        </c:ser>
        <c:dLbls>
          <c:dLblPos val="inEnd"/>
          <c:showLegendKey val="0"/>
          <c:showVal val="1"/>
          <c:showCatName val="0"/>
          <c:showSerName val="0"/>
          <c:showPercent val="0"/>
          <c:showBubbleSize val="0"/>
        </c:dLbls>
        <c:gapWidth val="100"/>
        <c:overlap val="-24"/>
        <c:axId val="404603432"/>
        <c:axId val="404603824"/>
      </c:barChart>
      <c:catAx>
        <c:axId val="40460343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a:t>Roca Fosforica</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BO"/>
          </a:p>
        </c:txPr>
        <c:crossAx val="404603824"/>
        <c:crosses val="autoZero"/>
        <c:auto val="1"/>
        <c:lblAlgn val="ctr"/>
        <c:lblOffset val="100"/>
        <c:noMultiLvlLbl val="0"/>
      </c:catAx>
      <c:valAx>
        <c:axId val="404603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a:t>Altura de planta (</a:t>
                </a:r>
                <a:r>
                  <a:rPr lang="es-BO" cap="none"/>
                  <a:t>cm</a:t>
                </a:r>
                <a:r>
                  <a:rPr lang="es-BO"/>
                  <a:t>)</a:t>
                </a:r>
              </a:p>
            </c:rich>
          </c:tx>
          <c:layout>
            <c:manualLayout>
              <c:xMode val="edge"/>
              <c:yMode val="edge"/>
              <c:x val="5.4254007398273733E-2"/>
              <c:y val="8.4566596194503171E-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BO"/>
          </a:p>
        </c:txPr>
        <c:crossAx val="404603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n-lt"/>
                <a:ea typeface="+mn-ea"/>
                <a:cs typeface="+mn-cs"/>
              </a:defRPr>
            </a:pPr>
            <a:r>
              <a:rPr lang="es-BO" sz="1100"/>
              <a:t>SIN ROCA </a:t>
            </a:r>
            <a:r>
              <a:rPr lang="es-ES" sz="1100"/>
              <a:t>FOSFÓRICA</a:t>
            </a:r>
            <a:r>
              <a:rPr lang="es-BO" sz="1100"/>
              <a:t> </a:t>
            </a:r>
          </a:p>
          <a:p>
            <a:pPr>
              <a:defRPr sz="1100"/>
            </a:pPr>
            <a:endParaRPr lang="es-BO" sz="1100"/>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n-lt"/>
              <a:ea typeface="+mn-ea"/>
              <a:cs typeface="+mn-cs"/>
            </a:defRPr>
          </a:pPr>
          <a:endParaRPr lang="es-BO"/>
        </a:p>
      </c:txPr>
    </c:title>
    <c:autoTitleDeleted val="0"/>
    <c:plotArea>
      <c:layout>
        <c:manualLayout>
          <c:layoutTarget val="inner"/>
          <c:xMode val="edge"/>
          <c:yMode val="edge"/>
          <c:x val="0.12935475347460762"/>
          <c:y val="0.18896815014110696"/>
          <c:w val="0.84387147915235428"/>
          <c:h val="0.58108864918530956"/>
        </c:manualLayout>
      </c:layout>
      <c:barChart>
        <c:barDir val="col"/>
        <c:grouping val="clustered"/>
        <c:varyColors val="0"/>
        <c:ser>
          <c:idx val="0"/>
          <c:order val="0"/>
          <c:spPr>
            <a:solidFill>
              <a:schemeClr val="accent2"/>
            </a:solidFill>
            <a:ln w="9525" cap="flat" cmpd="sng" algn="ctr">
              <a:solidFill>
                <a:schemeClr val="accent1">
                  <a:shade val="95000"/>
                </a:schemeClr>
              </a:solidFill>
              <a:round/>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Lbls>
            <c:dLbl>
              <c:idx val="0"/>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6"/>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B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ln>
              <a:effectLst/>
            </c:spPr>
          </c:errBars>
          <c:cat>
            <c:strRef>
              <c:f>pff!$A$68:$B$84</c:f>
              <c:strCache>
                <c:ptCount val="17"/>
                <c:pt idx="0">
                  <c:v>B0</c:v>
                </c:pt>
                <c:pt idx="1">
                  <c:v>FB1</c:v>
                </c:pt>
                <c:pt idx="2">
                  <c:v>FB2</c:v>
                </c:pt>
                <c:pt idx="3">
                  <c:v>FB3</c:v>
                </c:pt>
                <c:pt idx="4">
                  <c:v>FB4</c:v>
                </c:pt>
                <c:pt idx="5">
                  <c:v>FB5</c:v>
                </c:pt>
                <c:pt idx="6">
                  <c:v>FB6</c:v>
                </c:pt>
                <c:pt idx="7">
                  <c:v>FB7</c:v>
                </c:pt>
                <c:pt idx="8">
                  <c:v>FB8</c:v>
                </c:pt>
                <c:pt idx="9">
                  <c:v>FB9</c:v>
                </c:pt>
                <c:pt idx="10">
                  <c:v>FB10</c:v>
                </c:pt>
                <c:pt idx="11">
                  <c:v>FB11</c:v>
                </c:pt>
                <c:pt idx="12">
                  <c:v>FB12</c:v>
                </c:pt>
                <c:pt idx="13">
                  <c:v>FB13</c:v>
                </c:pt>
                <c:pt idx="14">
                  <c:v>FB14</c:v>
                </c:pt>
                <c:pt idx="15">
                  <c:v>FB15</c:v>
                </c:pt>
                <c:pt idx="16">
                  <c:v>bio</c:v>
                </c:pt>
              </c:strCache>
            </c:strRef>
          </c:cat>
          <c:val>
            <c:numRef>
              <c:f>pff!$C$68:$C$84</c:f>
              <c:numCache>
                <c:formatCode>General</c:formatCode>
                <c:ptCount val="17"/>
                <c:pt idx="0">
                  <c:v>5</c:v>
                </c:pt>
                <c:pt idx="1">
                  <c:v>7.6666667000000004</c:v>
                </c:pt>
                <c:pt idx="2">
                  <c:v>8.3333332999999996</c:v>
                </c:pt>
                <c:pt idx="3">
                  <c:v>6.3333332999999996</c:v>
                </c:pt>
                <c:pt idx="4">
                  <c:v>4.6666667000000004</c:v>
                </c:pt>
                <c:pt idx="5">
                  <c:v>8</c:v>
                </c:pt>
                <c:pt idx="6">
                  <c:v>6.6666667000000004</c:v>
                </c:pt>
                <c:pt idx="7">
                  <c:v>6.3333332999999996</c:v>
                </c:pt>
                <c:pt idx="8">
                  <c:v>5.3333332999999996</c:v>
                </c:pt>
                <c:pt idx="9">
                  <c:v>7.6666667000000004</c:v>
                </c:pt>
                <c:pt idx="10">
                  <c:v>7.6666667000000004</c:v>
                </c:pt>
                <c:pt idx="11">
                  <c:v>5.6666667000000004</c:v>
                </c:pt>
                <c:pt idx="12">
                  <c:v>12</c:v>
                </c:pt>
                <c:pt idx="13">
                  <c:v>4.6666667000000004</c:v>
                </c:pt>
                <c:pt idx="14">
                  <c:v>6</c:v>
                </c:pt>
                <c:pt idx="15">
                  <c:v>5.6666667000000004</c:v>
                </c:pt>
                <c:pt idx="16">
                  <c:v>11.6666667</c:v>
                </c:pt>
              </c:numCache>
            </c:numRef>
          </c:val>
        </c:ser>
        <c:dLbls>
          <c:dLblPos val="inEnd"/>
          <c:showLegendKey val="0"/>
          <c:showVal val="1"/>
          <c:showCatName val="0"/>
          <c:showSerName val="0"/>
          <c:showPercent val="0"/>
          <c:showBubbleSize val="0"/>
        </c:dLbls>
        <c:gapWidth val="100"/>
        <c:overlap val="-24"/>
        <c:axId val="305722608"/>
        <c:axId val="157906456"/>
      </c:barChart>
      <c:catAx>
        <c:axId val="305722608"/>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a:t>Bacterias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s-BO"/>
          </a:p>
        </c:txPr>
        <c:crossAx val="157906456"/>
        <c:crosses val="autoZero"/>
        <c:auto val="1"/>
        <c:lblAlgn val="ctr"/>
        <c:lblOffset val="100"/>
        <c:noMultiLvlLbl val="0"/>
      </c:catAx>
      <c:valAx>
        <c:axId val="157906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a:t>Peso foliar fresco (</a:t>
                </a:r>
                <a:r>
                  <a:rPr lang="es-BO" cap="none"/>
                  <a:t>gr</a:t>
                </a:r>
                <a:r>
                  <a:rPr lang="es-BO"/>
                  <a:t>)</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s-BO"/>
          </a:p>
        </c:txPr>
        <c:crossAx val="305722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n-lt"/>
                <a:ea typeface="+mn-ea"/>
                <a:cs typeface="+mn-cs"/>
              </a:defRPr>
            </a:pPr>
            <a:r>
              <a:rPr lang="es-BO" sz="1100"/>
              <a:t>CON ROCA </a:t>
            </a:r>
            <a:r>
              <a:rPr lang="es-ES" sz="1100"/>
              <a:t>FOSFÓRICA</a:t>
            </a:r>
            <a:r>
              <a:rPr lang="es-BO" sz="1100"/>
              <a:t> </a:t>
            </a:r>
          </a:p>
        </c:rich>
      </c:tx>
      <c:layout>
        <c:manualLayout>
          <c:xMode val="edge"/>
          <c:yMode val="edge"/>
          <c:x val="0.27085639062918992"/>
          <c:y val="2.4691358024691357E-2"/>
        </c:manualLayout>
      </c:layout>
      <c:overlay val="0"/>
      <c:spPr>
        <a:noFill/>
        <a:ln>
          <a:noFill/>
        </a:ln>
        <a:effectLst/>
      </c:spPr>
      <c:txPr>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n-lt"/>
              <a:ea typeface="+mn-ea"/>
              <a:cs typeface="+mn-cs"/>
            </a:defRPr>
          </a:pPr>
          <a:endParaRPr lang="es-BO"/>
        </a:p>
      </c:txPr>
    </c:title>
    <c:autoTitleDeleted val="0"/>
    <c:plotArea>
      <c:layout>
        <c:manualLayout>
          <c:layoutTarget val="inner"/>
          <c:xMode val="edge"/>
          <c:yMode val="edge"/>
          <c:x val="0.15989338793951066"/>
          <c:y val="0.20106995884773662"/>
          <c:w val="0.79469897532158329"/>
          <c:h val="0.46960395313714276"/>
        </c:manualLayout>
      </c:layout>
      <c:barChart>
        <c:barDir val="col"/>
        <c:grouping val="clustered"/>
        <c:varyColors val="0"/>
        <c:ser>
          <c:idx val="0"/>
          <c:order val="0"/>
          <c:spPr>
            <a:solidFill>
              <a:schemeClr val="accent1"/>
            </a:solidFill>
            <a:ln w="9525" cap="flat" cmpd="sng" algn="ctr">
              <a:solidFill>
                <a:schemeClr val="accent1">
                  <a:shade val="95000"/>
                </a:schemeClr>
              </a:solidFill>
              <a:round/>
            </a:ln>
            <a:effectLst/>
          </c:spPr>
          <c:invertIfNegative val="0"/>
          <c:dLbls>
            <c:dLbl>
              <c:idx val="0"/>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6"/>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B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ln>
              <a:effectLst/>
            </c:spPr>
          </c:errBars>
          <c:cat>
            <c:strRef>
              <c:f>pff!$A$49:$B$65</c:f>
              <c:strCache>
                <c:ptCount val="17"/>
                <c:pt idx="0">
                  <c:v>B0</c:v>
                </c:pt>
                <c:pt idx="1">
                  <c:v>FB1</c:v>
                </c:pt>
                <c:pt idx="2">
                  <c:v>FB2</c:v>
                </c:pt>
                <c:pt idx="3">
                  <c:v>FB3</c:v>
                </c:pt>
                <c:pt idx="4">
                  <c:v>FB4</c:v>
                </c:pt>
                <c:pt idx="5">
                  <c:v>FB5</c:v>
                </c:pt>
                <c:pt idx="6">
                  <c:v>FB6</c:v>
                </c:pt>
                <c:pt idx="7">
                  <c:v>FB7</c:v>
                </c:pt>
                <c:pt idx="8">
                  <c:v>FB8</c:v>
                </c:pt>
                <c:pt idx="9">
                  <c:v>FB9</c:v>
                </c:pt>
                <c:pt idx="10">
                  <c:v>FB10</c:v>
                </c:pt>
                <c:pt idx="11">
                  <c:v>FB11</c:v>
                </c:pt>
                <c:pt idx="12">
                  <c:v>FB12</c:v>
                </c:pt>
                <c:pt idx="13">
                  <c:v>FB13</c:v>
                </c:pt>
                <c:pt idx="14">
                  <c:v>FB14</c:v>
                </c:pt>
                <c:pt idx="15">
                  <c:v>FB15</c:v>
                </c:pt>
                <c:pt idx="16">
                  <c:v>BIO</c:v>
                </c:pt>
              </c:strCache>
            </c:strRef>
          </c:cat>
          <c:val>
            <c:numRef>
              <c:f>pff!$C$49:$C$65</c:f>
              <c:numCache>
                <c:formatCode>General</c:formatCode>
                <c:ptCount val="17"/>
                <c:pt idx="0">
                  <c:v>5.3333332999999996</c:v>
                </c:pt>
                <c:pt idx="1">
                  <c:v>10.6666667</c:v>
                </c:pt>
                <c:pt idx="2">
                  <c:v>5.6666667000000004</c:v>
                </c:pt>
                <c:pt idx="3">
                  <c:v>10.6666667</c:v>
                </c:pt>
                <c:pt idx="4">
                  <c:v>8.3333332999999996</c:v>
                </c:pt>
                <c:pt idx="5">
                  <c:v>8.3333332999999996</c:v>
                </c:pt>
                <c:pt idx="6">
                  <c:v>12.3333333</c:v>
                </c:pt>
                <c:pt idx="7">
                  <c:v>10.3333333</c:v>
                </c:pt>
                <c:pt idx="8">
                  <c:v>7.3333332999999996</c:v>
                </c:pt>
                <c:pt idx="9">
                  <c:v>9.6666667000000004</c:v>
                </c:pt>
                <c:pt idx="10">
                  <c:v>14.6666667</c:v>
                </c:pt>
                <c:pt idx="11">
                  <c:v>7.3333332999999996</c:v>
                </c:pt>
                <c:pt idx="12">
                  <c:v>15</c:v>
                </c:pt>
                <c:pt idx="13">
                  <c:v>9</c:v>
                </c:pt>
                <c:pt idx="14">
                  <c:v>6.3333332999999996</c:v>
                </c:pt>
                <c:pt idx="15">
                  <c:v>7</c:v>
                </c:pt>
                <c:pt idx="16">
                  <c:v>6.6666667000000004</c:v>
                </c:pt>
              </c:numCache>
            </c:numRef>
          </c:val>
        </c:ser>
        <c:dLbls>
          <c:dLblPos val="inEnd"/>
          <c:showLegendKey val="0"/>
          <c:showVal val="1"/>
          <c:showCatName val="0"/>
          <c:showSerName val="0"/>
          <c:showPercent val="0"/>
          <c:showBubbleSize val="0"/>
        </c:dLbls>
        <c:gapWidth val="100"/>
        <c:overlap val="-24"/>
        <c:axId val="157905280"/>
        <c:axId val="157905672"/>
      </c:barChart>
      <c:catAx>
        <c:axId val="15790528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a:t>Bacterias</a:t>
                </a:r>
              </a:p>
            </c:rich>
          </c:tx>
          <c:layout>
            <c:manualLayout>
              <c:xMode val="edge"/>
              <c:yMode val="edge"/>
              <c:x val="0.46072256641900955"/>
              <c:y val="0.85474684379536359"/>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s-BO"/>
          </a:p>
        </c:txPr>
        <c:crossAx val="157905672"/>
        <c:crosses val="autoZero"/>
        <c:auto val="1"/>
        <c:lblAlgn val="ctr"/>
        <c:lblOffset val="100"/>
        <c:noMultiLvlLbl val="0"/>
      </c:catAx>
      <c:valAx>
        <c:axId val="157905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cap="all" baseline="0">
                    <a:solidFill>
                      <a:schemeClr val="tx1">
                        <a:lumMod val="50000"/>
                        <a:lumOff val="50000"/>
                      </a:schemeClr>
                    </a:solidFill>
                    <a:latin typeface="+mn-lt"/>
                    <a:ea typeface="+mn-ea"/>
                    <a:cs typeface="+mn-cs"/>
                  </a:defRPr>
                </a:pPr>
                <a:r>
                  <a:rPr lang="es-BO" sz="800"/>
                  <a:t>Peso foliar fresco (</a:t>
                </a:r>
                <a:r>
                  <a:rPr lang="es-BO" sz="800" cap="none"/>
                  <a:t>gr</a:t>
                </a:r>
                <a:r>
                  <a:rPr lang="es-BO" sz="800"/>
                  <a:t>)</a:t>
                </a:r>
              </a:p>
            </c:rich>
          </c:tx>
          <c:layout>
            <c:manualLayout>
              <c:xMode val="edge"/>
              <c:yMode val="edge"/>
              <c:x val="2.8895768833849329E-2"/>
              <c:y val="0.11876543209876543"/>
            </c:manualLayout>
          </c:layout>
          <c:overlay val="0"/>
          <c:spPr>
            <a:noFill/>
            <a:ln>
              <a:noFill/>
            </a:ln>
            <a:effectLst/>
          </c:spPr>
          <c:txPr>
            <a:bodyPr rot="-5400000" spcFirstLastPara="1" vertOverflow="ellipsis" vert="horz" wrap="square" anchor="ctr" anchorCtr="1"/>
            <a:lstStyle/>
            <a:p>
              <a:pPr>
                <a:defRPr sz="8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BO"/>
          </a:p>
        </c:txPr>
        <c:crossAx val="157905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928764424226182"/>
          <c:y val="9.9682827367467156E-2"/>
          <c:w val="0.7401143796767814"/>
          <c:h val="0.51804887098673158"/>
        </c:manualLayout>
      </c:layout>
      <c:barChart>
        <c:barDir val="col"/>
        <c:grouping val="clustered"/>
        <c:varyColors val="0"/>
        <c:ser>
          <c:idx val="0"/>
          <c:order val="0"/>
          <c:tx>
            <c:strRef>
              <c:f>pff!$B$37</c:f>
              <c:strCache>
                <c:ptCount val="1"/>
                <c:pt idx="0">
                  <c:v>pff LSMEAN</c:v>
                </c:pt>
              </c:strCache>
            </c:strRef>
          </c:tx>
          <c:spPr>
            <a:solidFill>
              <a:schemeClr val="accent2"/>
            </a:solidFill>
            <a:ln w="9525" cap="flat" cmpd="sng" algn="ctr">
              <a:solidFill>
                <a:schemeClr val="accent1">
                  <a:shade val="95000"/>
                </a:schemeClr>
              </a:solidFill>
              <a:round/>
            </a:ln>
            <a:effectLst/>
          </c:spPr>
          <c:invertIfNegative val="0"/>
          <c:dPt>
            <c:idx val="0"/>
            <c:invertIfNegative val="0"/>
            <c:bubble3D val="0"/>
            <c:spPr>
              <a:solidFill>
                <a:schemeClr val="accent1"/>
              </a:solidFill>
              <a:ln w="9525" cap="flat" cmpd="sng" algn="ctr">
                <a:solidFill>
                  <a:schemeClr val="accent1">
                    <a:shade val="95000"/>
                  </a:schemeClr>
                </a:solidFill>
                <a:round/>
              </a:ln>
              <a:effectLst/>
            </c:spPr>
          </c:dPt>
          <c:dLbls>
            <c:dLbl>
              <c:idx val="0"/>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B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ln>
              <a:effectLst/>
            </c:spPr>
          </c:errBars>
          <c:cat>
            <c:strRef>
              <c:f>pff!$A$38:$A$39</c:f>
              <c:strCache>
                <c:ptCount val="2"/>
                <c:pt idx="0">
                  <c:v>con</c:v>
                </c:pt>
                <c:pt idx="1">
                  <c:v>sin</c:v>
                </c:pt>
              </c:strCache>
            </c:strRef>
          </c:cat>
          <c:val>
            <c:numRef>
              <c:f>pff!$B$38:$B$39</c:f>
              <c:numCache>
                <c:formatCode>General</c:formatCode>
                <c:ptCount val="2"/>
                <c:pt idx="0">
                  <c:v>9.0980392200000004</c:v>
                </c:pt>
                <c:pt idx="1">
                  <c:v>7.0196078399999999</c:v>
                </c:pt>
              </c:numCache>
            </c:numRef>
          </c:val>
          <c:extLst xmlns:c16r2="http://schemas.microsoft.com/office/drawing/2015/06/chart">
            <c:ext xmlns:c16="http://schemas.microsoft.com/office/drawing/2014/chart" uri="{C3380CC4-5D6E-409C-BE32-E72D297353CC}">
              <c16:uniqueId val="{00000002-D9B9-4F13-817C-B882C801641B}"/>
            </c:ext>
          </c:extLst>
        </c:ser>
        <c:dLbls>
          <c:dLblPos val="inEnd"/>
          <c:showLegendKey val="0"/>
          <c:showVal val="1"/>
          <c:showCatName val="0"/>
          <c:showSerName val="0"/>
          <c:showPercent val="0"/>
          <c:showBubbleSize val="0"/>
        </c:dLbls>
        <c:gapWidth val="100"/>
        <c:overlap val="-24"/>
        <c:axId val="229700368"/>
        <c:axId val="229700760"/>
      </c:barChart>
      <c:catAx>
        <c:axId val="229700368"/>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Roca fosforica</a:t>
                </a:r>
              </a:p>
            </c:rich>
          </c:tx>
          <c:layout>
            <c:manualLayout>
              <c:xMode val="edge"/>
              <c:yMode val="edge"/>
              <c:x val="0.4174771276865461"/>
              <c:y val="0.83701822047957641"/>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BO"/>
          </a:p>
        </c:txPr>
        <c:crossAx val="229700760"/>
        <c:crosses val="autoZero"/>
        <c:auto val="1"/>
        <c:lblAlgn val="ctr"/>
        <c:lblOffset val="100"/>
        <c:noMultiLvlLbl val="0"/>
      </c:catAx>
      <c:valAx>
        <c:axId val="229700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cap="all" baseline="0">
                    <a:solidFill>
                      <a:schemeClr val="tx1">
                        <a:lumMod val="50000"/>
                        <a:lumOff val="50000"/>
                      </a:schemeClr>
                    </a:solidFill>
                    <a:latin typeface="+mn-lt"/>
                    <a:ea typeface="+mn-ea"/>
                    <a:cs typeface="+mn-cs"/>
                  </a:defRPr>
                </a:pPr>
                <a:r>
                  <a:rPr lang="en-US" sz="800"/>
                  <a:t>Peso foliar fresco (</a:t>
                </a:r>
                <a:r>
                  <a:rPr lang="en-US" sz="800" cap="none"/>
                  <a:t>gr</a:t>
                </a:r>
                <a:r>
                  <a:rPr lang="en-US" sz="800"/>
                  <a:t>)</a:t>
                </a:r>
              </a:p>
            </c:rich>
          </c:tx>
          <c:layout>
            <c:manualLayout>
              <c:xMode val="edge"/>
              <c:yMode val="edge"/>
              <c:x val="2.2999080036798528E-2"/>
              <c:y val="9.9682827367467156E-2"/>
            </c:manualLayout>
          </c:layout>
          <c:overlay val="0"/>
          <c:spPr>
            <a:noFill/>
            <a:ln>
              <a:noFill/>
            </a:ln>
            <a:effectLst/>
          </c:spPr>
          <c:txPr>
            <a:bodyPr rot="-5400000" spcFirstLastPara="1" vertOverflow="ellipsis" vert="horz" wrap="square" anchor="ctr" anchorCtr="1"/>
            <a:lstStyle/>
            <a:p>
              <a:pPr>
                <a:defRPr sz="8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BO"/>
          </a:p>
        </c:txPr>
        <c:crossAx val="229700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n-lt"/>
                <a:ea typeface="+mn-ea"/>
                <a:cs typeface="+mn-cs"/>
              </a:defRPr>
            </a:pPr>
            <a:r>
              <a:rPr lang="es-BO" sz="1100"/>
              <a:t>SIN ROCA </a:t>
            </a:r>
            <a:r>
              <a:rPr lang="es-ES" sz="1100" b="0" i="0" u="none" strike="noStrike" cap="none" baseline="0">
                <a:effectLst/>
              </a:rPr>
              <a:t>FOSFÓRICA</a:t>
            </a:r>
            <a:endParaRPr lang="es-BO" sz="1100"/>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n-lt"/>
              <a:ea typeface="+mn-ea"/>
              <a:cs typeface="+mn-cs"/>
            </a:defRPr>
          </a:pPr>
          <a:endParaRPr lang="es-BO"/>
        </a:p>
      </c:txPr>
    </c:title>
    <c:autoTitleDeleted val="0"/>
    <c:plotArea>
      <c:layout/>
      <c:barChart>
        <c:barDir val="col"/>
        <c:grouping val="clustered"/>
        <c:varyColors val="0"/>
        <c:ser>
          <c:idx val="0"/>
          <c:order val="0"/>
          <c:spPr>
            <a:solidFill>
              <a:schemeClr val="accent2"/>
            </a:solidFill>
            <a:ln w="9525" cap="flat" cmpd="sng" algn="ctr">
              <a:solidFill>
                <a:schemeClr val="accent1">
                  <a:shade val="95000"/>
                </a:schemeClr>
              </a:solidFill>
              <a:round/>
            </a:ln>
            <a:effectLst/>
          </c:spPr>
          <c:invertIfNegative val="0"/>
          <c:dLbls>
            <c:dLbl>
              <c:idx val="0"/>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6"/>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B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ln>
              <a:effectLst/>
            </c:spPr>
          </c:errBars>
          <c:cat>
            <c:strRef>
              <c:f>pfs!$F$70:$F$86</c:f>
              <c:strCache>
                <c:ptCount val="17"/>
                <c:pt idx="0">
                  <c:v>FB0</c:v>
                </c:pt>
                <c:pt idx="1">
                  <c:v>FB1</c:v>
                </c:pt>
                <c:pt idx="2">
                  <c:v>FB2</c:v>
                </c:pt>
                <c:pt idx="3">
                  <c:v>FB3</c:v>
                </c:pt>
                <c:pt idx="4">
                  <c:v>FB4</c:v>
                </c:pt>
                <c:pt idx="5">
                  <c:v>FB5</c:v>
                </c:pt>
                <c:pt idx="6">
                  <c:v>FB6</c:v>
                </c:pt>
                <c:pt idx="7">
                  <c:v>FB7</c:v>
                </c:pt>
                <c:pt idx="8">
                  <c:v>FB8</c:v>
                </c:pt>
                <c:pt idx="9">
                  <c:v>FB9</c:v>
                </c:pt>
                <c:pt idx="10">
                  <c:v>FB10</c:v>
                </c:pt>
                <c:pt idx="11">
                  <c:v>FB11</c:v>
                </c:pt>
                <c:pt idx="12">
                  <c:v>FB12</c:v>
                </c:pt>
                <c:pt idx="13">
                  <c:v>FB13</c:v>
                </c:pt>
                <c:pt idx="14">
                  <c:v>FB14</c:v>
                </c:pt>
                <c:pt idx="15">
                  <c:v>FB15</c:v>
                </c:pt>
                <c:pt idx="16">
                  <c:v>BIO</c:v>
                </c:pt>
              </c:strCache>
            </c:strRef>
          </c:cat>
          <c:val>
            <c:numRef>
              <c:f>pfs!$G$70:$G$86</c:f>
              <c:numCache>
                <c:formatCode>General</c:formatCode>
                <c:ptCount val="17"/>
                <c:pt idx="0">
                  <c:v>2</c:v>
                </c:pt>
                <c:pt idx="1">
                  <c:v>2.3333333299999999</c:v>
                </c:pt>
                <c:pt idx="2">
                  <c:v>2.6666666700000001</c:v>
                </c:pt>
                <c:pt idx="3">
                  <c:v>2.6666666700000001</c:v>
                </c:pt>
                <c:pt idx="4">
                  <c:v>2</c:v>
                </c:pt>
                <c:pt idx="5">
                  <c:v>3.6666666700000001</c:v>
                </c:pt>
                <c:pt idx="6">
                  <c:v>2.6666666700000001</c:v>
                </c:pt>
                <c:pt idx="7">
                  <c:v>3</c:v>
                </c:pt>
                <c:pt idx="8">
                  <c:v>2.6666666700000001</c:v>
                </c:pt>
                <c:pt idx="9">
                  <c:v>3.3333333299999999</c:v>
                </c:pt>
                <c:pt idx="10">
                  <c:v>3.3333333299999999</c:v>
                </c:pt>
                <c:pt idx="11">
                  <c:v>2.6666666700000001</c:v>
                </c:pt>
                <c:pt idx="12">
                  <c:v>4.6666666599999997</c:v>
                </c:pt>
                <c:pt idx="13">
                  <c:v>1.6666666699999999</c:v>
                </c:pt>
                <c:pt idx="14">
                  <c:v>2.3333333299999999</c:v>
                </c:pt>
                <c:pt idx="15">
                  <c:v>2.3333333299999999</c:v>
                </c:pt>
                <c:pt idx="16">
                  <c:v>4</c:v>
                </c:pt>
              </c:numCache>
            </c:numRef>
          </c:val>
        </c:ser>
        <c:dLbls>
          <c:dLblPos val="inEnd"/>
          <c:showLegendKey val="0"/>
          <c:showVal val="1"/>
          <c:showCatName val="0"/>
          <c:showSerName val="0"/>
          <c:showPercent val="0"/>
          <c:showBubbleSize val="0"/>
        </c:dLbls>
        <c:gapWidth val="100"/>
        <c:overlap val="-24"/>
        <c:axId val="229699976"/>
        <c:axId val="229699192"/>
      </c:barChart>
      <c:catAx>
        <c:axId val="22969997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a:t>Bacterias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s-BO"/>
          </a:p>
        </c:txPr>
        <c:crossAx val="229699192"/>
        <c:crosses val="autoZero"/>
        <c:auto val="1"/>
        <c:lblAlgn val="ctr"/>
        <c:lblOffset val="100"/>
        <c:noMultiLvlLbl val="0"/>
      </c:catAx>
      <c:valAx>
        <c:axId val="229699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a:t>Peso seco de follaje (</a:t>
                </a:r>
                <a:r>
                  <a:rPr lang="es-BO" cap="none"/>
                  <a:t>gr</a:t>
                </a:r>
                <a:r>
                  <a:rPr lang="es-BO"/>
                  <a:t>)</a:t>
                </a:r>
              </a:p>
            </c:rich>
          </c:tx>
          <c:layout>
            <c:manualLayout>
              <c:xMode val="edge"/>
              <c:yMode val="edge"/>
              <c:x val="3.8585209003215437E-2"/>
              <c:y val="0.1136648250460405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BO"/>
          </a:p>
        </c:txPr>
        <c:crossAx val="229699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n-lt"/>
                <a:ea typeface="+mn-ea"/>
                <a:cs typeface="+mn-cs"/>
              </a:defRPr>
            </a:pPr>
            <a:r>
              <a:rPr lang="es-BO" sz="1100"/>
              <a:t>CON ROCA</a:t>
            </a:r>
            <a:r>
              <a:rPr lang="es-BO" sz="1100" baseline="0"/>
              <a:t> </a:t>
            </a:r>
            <a:r>
              <a:rPr lang="es-ES" sz="1100" b="0" i="0" u="none" strike="noStrike" cap="none" baseline="0">
                <a:effectLst/>
              </a:rPr>
              <a:t>FOSFÓRICA</a:t>
            </a:r>
            <a:endParaRPr lang="es-BO" sz="1100"/>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n-lt"/>
              <a:ea typeface="+mn-ea"/>
              <a:cs typeface="+mn-cs"/>
            </a:defRPr>
          </a:pPr>
          <a:endParaRPr lang="es-BO"/>
        </a:p>
      </c:txPr>
    </c:title>
    <c:autoTitleDeleted val="0"/>
    <c:plotArea>
      <c:layout>
        <c:manualLayout>
          <c:layoutTarget val="inner"/>
          <c:xMode val="edge"/>
          <c:yMode val="edge"/>
          <c:x val="0.15067360396204893"/>
          <c:y val="0.196194720942901"/>
          <c:w val="0.7849638759819334"/>
          <c:h val="0.46985192888624761"/>
        </c:manualLayout>
      </c:layout>
      <c:barChart>
        <c:barDir val="col"/>
        <c:grouping val="clustered"/>
        <c:varyColors val="0"/>
        <c:ser>
          <c:idx val="0"/>
          <c:order val="0"/>
          <c:spPr>
            <a:solidFill>
              <a:schemeClr val="accent1"/>
            </a:solidFill>
            <a:ln w="9525" cap="flat" cmpd="sng" algn="ctr">
              <a:solidFill>
                <a:schemeClr val="accent1">
                  <a:shade val="95000"/>
                </a:schemeClr>
              </a:solidFill>
              <a:round/>
            </a:ln>
            <a:effectLst/>
          </c:spPr>
          <c:invertIfNegative val="0"/>
          <c:dLbls>
            <c:dLbl>
              <c:idx val="0"/>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a:t>c</a:t>
                    </a:r>
                  </a:p>
                </c:rich>
              </c:tx>
              <c:dLblPos val="inEnd"/>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a:t>a</a:t>
                    </a:r>
                  </a:p>
                </c:rich>
              </c:tx>
              <c:dLblPos val="inEnd"/>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dLbl>
              <c:idx val="16"/>
              <c:tx>
                <c:rich>
                  <a:bodyPr/>
                  <a:lstStyle/>
                  <a:p>
                    <a:r>
                      <a:rPr lang="en-US"/>
                      <a:t>b</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B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ln>
              <a:effectLst/>
            </c:spPr>
          </c:errBars>
          <c:cat>
            <c:strRef>
              <c:f>pfs!$F$44:$F$60</c:f>
              <c:strCache>
                <c:ptCount val="17"/>
                <c:pt idx="0">
                  <c:v>FB0</c:v>
                </c:pt>
                <c:pt idx="1">
                  <c:v>FB1</c:v>
                </c:pt>
                <c:pt idx="2">
                  <c:v>FB2</c:v>
                </c:pt>
                <c:pt idx="3">
                  <c:v>FB3</c:v>
                </c:pt>
                <c:pt idx="4">
                  <c:v>FB4</c:v>
                </c:pt>
                <c:pt idx="5">
                  <c:v>FB5</c:v>
                </c:pt>
                <c:pt idx="6">
                  <c:v>FB6</c:v>
                </c:pt>
                <c:pt idx="7">
                  <c:v>FB7</c:v>
                </c:pt>
                <c:pt idx="8">
                  <c:v>FB8</c:v>
                </c:pt>
                <c:pt idx="9">
                  <c:v>FB9</c:v>
                </c:pt>
                <c:pt idx="10">
                  <c:v>FB10</c:v>
                </c:pt>
                <c:pt idx="11">
                  <c:v>FB11</c:v>
                </c:pt>
                <c:pt idx="12">
                  <c:v>FB12</c:v>
                </c:pt>
                <c:pt idx="13">
                  <c:v>FB13</c:v>
                </c:pt>
                <c:pt idx="14">
                  <c:v>FB14</c:v>
                </c:pt>
                <c:pt idx="15">
                  <c:v>FB15</c:v>
                </c:pt>
                <c:pt idx="16">
                  <c:v>BIO</c:v>
                </c:pt>
              </c:strCache>
            </c:strRef>
          </c:cat>
          <c:val>
            <c:numRef>
              <c:f>pfs!$G$44:$G$60</c:f>
              <c:numCache>
                <c:formatCode>General</c:formatCode>
                <c:ptCount val="17"/>
                <c:pt idx="0">
                  <c:v>2</c:v>
                </c:pt>
                <c:pt idx="1">
                  <c:v>2.6666666700000001</c:v>
                </c:pt>
                <c:pt idx="2">
                  <c:v>3.3333333299999999</c:v>
                </c:pt>
                <c:pt idx="3">
                  <c:v>3.6666666700000001</c:v>
                </c:pt>
                <c:pt idx="4">
                  <c:v>3.3333333299999999</c:v>
                </c:pt>
                <c:pt idx="5">
                  <c:v>2.6666666700000001</c:v>
                </c:pt>
                <c:pt idx="6">
                  <c:v>3.6666666700000001</c:v>
                </c:pt>
                <c:pt idx="7">
                  <c:v>4.3333333300000003</c:v>
                </c:pt>
                <c:pt idx="8">
                  <c:v>3.3333333299999999</c:v>
                </c:pt>
                <c:pt idx="9">
                  <c:v>2.3333333299999999</c:v>
                </c:pt>
                <c:pt idx="10">
                  <c:v>4.3333333300000003</c:v>
                </c:pt>
                <c:pt idx="11">
                  <c:v>2.3333333299999999</c:v>
                </c:pt>
                <c:pt idx="12">
                  <c:v>5.3333333300000003</c:v>
                </c:pt>
                <c:pt idx="13">
                  <c:v>3.3333333299999999</c:v>
                </c:pt>
                <c:pt idx="14">
                  <c:v>2.6666666700000001</c:v>
                </c:pt>
                <c:pt idx="15">
                  <c:v>3</c:v>
                </c:pt>
                <c:pt idx="16">
                  <c:v>2.6666666700000001</c:v>
                </c:pt>
              </c:numCache>
            </c:numRef>
          </c:val>
        </c:ser>
        <c:dLbls>
          <c:dLblPos val="inEnd"/>
          <c:showLegendKey val="0"/>
          <c:showVal val="1"/>
          <c:showCatName val="0"/>
          <c:showSerName val="0"/>
          <c:showPercent val="0"/>
          <c:showBubbleSize val="0"/>
        </c:dLbls>
        <c:gapWidth val="100"/>
        <c:overlap val="-24"/>
        <c:axId val="229701544"/>
        <c:axId val="229701936"/>
      </c:barChart>
      <c:catAx>
        <c:axId val="22970154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a:t>Bacterias</a:t>
                </a:r>
              </a:p>
            </c:rich>
          </c:tx>
          <c:layout>
            <c:manualLayout>
              <c:xMode val="edge"/>
              <c:yMode val="edge"/>
              <c:x val="0.48076151439974119"/>
              <c:y val="0.86274715660542434"/>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s-BO"/>
          </a:p>
        </c:txPr>
        <c:crossAx val="229701936"/>
        <c:crosses val="autoZero"/>
        <c:auto val="1"/>
        <c:lblAlgn val="ctr"/>
        <c:lblOffset val="100"/>
        <c:noMultiLvlLbl val="0"/>
      </c:catAx>
      <c:valAx>
        <c:axId val="229701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s-BO" sz="800"/>
                  <a:t>Peso</a:t>
                </a:r>
                <a:r>
                  <a:rPr lang="es-BO" sz="800" baseline="0"/>
                  <a:t> seco</a:t>
                </a:r>
                <a:r>
                  <a:rPr lang="es-BO" sz="800"/>
                  <a:t> de follaje (</a:t>
                </a:r>
                <a:r>
                  <a:rPr lang="es-BO" sz="800" cap="none"/>
                  <a:t>gr</a:t>
                </a:r>
                <a:r>
                  <a:rPr lang="es-BO" sz="800"/>
                  <a:t>)</a:t>
                </a:r>
              </a:p>
            </c:rich>
          </c:tx>
          <c:layout>
            <c:manualLayout>
              <c:xMode val="edge"/>
              <c:yMode val="edge"/>
              <c:x val="2.2831121374845813E-2"/>
              <c:y val="9.9329470608626749E-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BO"/>
          </a:p>
        </c:txPr>
        <c:crossAx val="229701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cap="none" spc="20" baseline="0">
                <a:solidFill>
                  <a:sysClr val="windowText" lastClr="000000">
                    <a:lumMod val="50000"/>
                    <a:lumOff val="50000"/>
                  </a:sysClr>
                </a:solidFill>
                <a:latin typeface="+mn-lt"/>
                <a:ea typeface="+mn-ea"/>
                <a:cs typeface="+mn-cs"/>
              </a:defRPr>
            </a:pPr>
            <a:r>
              <a:rPr lang="es-BO" sz="1100"/>
              <a:t>SIN ROCA</a:t>
            </a:r>
            <a:r>
              <a:rPr lang="es-BO" sz="1100" baseline="0"/>
              <a:t> </a:t>
            </a:r>
            <a:r>
              <a:rPr lang="es-ES" sz="1100">
                <a:effectLst/>
              </a:rPr>
              <a:t>FOSFÓRICA</a:t>
            </a:r>
            <a:endParaRPr lang="es-BO" sz="1100">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cap="none" spc="20" baseline="0">
              <a:solidFill>
                <a:sysClr val="windowText" lastClr="000000">
                  <a:lumMod val="50000"/>
                  <a:lumOff val="50000"/>
                </a:sysClr>
              </a:solidFill>
              <a:latin typeface="+mn-lt"/>
              <a:ea typeface="+mn-ea"/>
              <a:cs typeface="+mn-cs"/>
            </a:defRPr>
          </a:pPr>
          <a:endParaRPr lang="es-BO"/>
        </a:p>
      </c:txPr>
    </c:title>
    <c:autoTitleDeleted val="0"/>
    <c:plotArea>
      <c:layout>
        <c:manualLayout>
          <c:layoutTarget val="inner"/>
          <c:xMode val="edge"/>
          <c:yMode val="edge"/>
          <c:x val="0.16437062202551267"/>
          <c:y val="0.21660952380952381"/>
          <c:w val="0.7850314018935306"/>
          <c:h val="0.46851983502062244"/>
        </c:manualLayout>
      </c:layout>
      <c:barChart>
        <c:barDir val="col"/>
        <c:grouping val="clustered"/>
        <c:varyColors val="0"/>
        <c:ser>
          <c:idx val="0"/>
          <c:order val="0"/>
          <c:tx>
            <c:strRef>
              <c:f>lraiz!$B$16</c:f>
              <c:strCache>
                <c:ptCount val="1"/>
                <c:pt idx="0">
                  <c:v>lraiz LSMEAN</c:v>
                </c:pt>
              </c:strCache>
            </c:strRef>
          </c:tx>
          <c:spPr>
            <a:solidFill>
              <a:schemeClr val="accent2"/>
            </a:solidFill>
            <a:ln w="9525" cap="flat" cmpd="sng" algn="ctr">
              <a:solidFill>
                <a:schemeClr val="accent1">
                  <a:shade val="95000"/>
                </a:schemeClr>
              </a:solidFill>
              <a:round/>
            </a:ln>
            <a:effectLst/>
          </c:spPr>
          <c:invertIfNegative val="0"/>
          <c:dLbls>
            <c:dLbl>
              <c:idx val="0"/>
              <c:tx>
                <c:rich>
                  <a:bodyPr/>
                  <a:lstStyle/>
                  <a:p>
                    <a:r>
                      <a:rPr lang="en-US"/>
                      <a:t>c</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34E-4C69-A6EB-798FE999EE09}"/>
                </c:ext>
                <c:ext xmlns:c15="http://schemas.microsoft.com/office/drawing/2012/chart" uri="{CE6537A1-D6FC-4f65-9D91-7224C49458BB}"/>
              </c:extLst>
            </c:dLbl>
            <c:dLbl>
              <c:idx val="1"/>
              <c:tx>
                <c:rich>
                  <a:bodyPr/>
                  <a:lstStyle/>
                  <a:p>
                    <a:r>
                      <a:rPr lang="en-US"/>
                      <a:t>a</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34E-4C69-A6EB-798FE999EE09}"/>
                </c:ext>
                <c:ext xmlns:c15="http://schemas.microsoft.com/office/drawing/2012/chart" uri="{CE6537A1-D6FC-4f65-9D91-7224C49458BB}"/>
              </c:extLst>
            </c:dLbl>
            <c:dLbl>
              <c:idx val="2"/>
              <c:tx>
                <c:rich>
                  <a:bodyPr/>
                  <a:lstStyle/>
                  <a:p>
                    <a:r>
                      <a:rPr lang="en-US"/>
                      <a:t>b</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34E-4C69-A6EB-798FE999EE09}"/>
                </c:ext>
                <c:ext xmlns:c15="http://schemas.microsoft.com/office/drawing/2012/chart" uri="{CE6537A1-D6FC-4f65-9D91-7224C49458BB}"/>
              </c:extLst>
            </c:dLbl>
            <c:dLbl>
              <c:idx val="3"/>
              <c:tx>
                <c:rich>
                  <a:bodyPr/>
                  <a:lstStyle/>
                  <a:p>
                    <a:r>
                      <a:rPr lang="en-US"/>
                      <a:t>a</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34E-4C69-A6EB-798FE999EE09}"/>
                </c:ext>
                <c:ext xmlns:c15="http://schemas.microsoft.com/office/drawing/2012/chart" uri="{CE6537A1-D6FC-4f65-9D91-7224C49458BB}"/>
              </c:extLst>
            </c:dLbl>
            <c:dLbl>
              <c:idx val="4"/>
              <c:tx>
                <c:rich>
                  <a:bodyPr/>
                  <a:lstStyle/>
                  <a:p>
                    <a:r>
                      <a:rPr lang="en-US"/>
                      <a:t>b</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34E-4C69-A6EB-798FE999EE09}"/>
                </c:ext>
                <c:ext xmlns:c15="http://schemas.microsoft.com/office/drawing/2012/chart" uri="{CE6537A1-D6FC-4f65-9D91-7224C49458BB}"/>
              </c:extLst>
            </c:dLbl>
            <c:dLbl>
              <c:idx val="5"/>
              <c:tx>
                <c:rich>
                  <a:bodyPr/>
                  <a:lstStyle/>
                  <a:p>
                    <a:r>
                      <a:rPr lang="en-US"/>
                      <a:t>a</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34E-4C69-A6EB-798FE999EE09}"/>
                </c:ext>
                <c:ext xmlns:c15="http://schemas.microsoft.com/office/drawing/2012/chart" uri="{CE6537A1-D6FC-4f65-9D91-7224C49458BB}"/>
              </c:extLst>
            </c:dLbl>
            <c:dLbl>
              <c:idx val="6"/>
              <c:tx>
                <c:rich>
                  <a:bodyPr/>
                  <a:lstStyle/>
                  <a:p>
                    <a:r>
                      <a:rPr lang="en-US"/>
                      <a:t>a</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34E-4C69-A6EB-798FE999EE09}"/>
                </c:ext>
                <c:ext xmlns:c15="http://schemas.microsoft.com/office/drawing/2012/chart" uri="{CE6537A1-D6FC-4f65-9D91-7224C49458BB}"/>
              </c:extLst>
            </c:dLbl>
            <c:dLbl>
              <c:idx val="7"/>
              <c:tx>
                <c:rich>
                  <a:bodyPr/>
                  <a:lstStyle/>
                  <a:p>
                    <a:r>
                      <a:rPr lang="en-US"/>
                      <a:t>b</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34E-4C69-A6EB-798FE999EE09}"/>
                </c:ext>
                <c:ext xmlns:c15="http://schemas.microsoft.com/office/drawing/2012/chart" uri="{CE6537A1-D6FC-4f65-9D91-7224C49458BB}"/>
              </c:extLst>
            </c:dLbl>
            <c:dLbl>
              <c:idx val="8"/>
              <c:tx>
                <c:rich>
                  <a:bodyPr/>
                  <a:lstStyle/>
                  <a:p>
                    <a:r>
                      <a:rPr lang="en-US"/>
                      <a:t>a</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34E-4C69-A6EB-798FE999EE09}"/>
                </c:ext>
                <c:ext xmlns:c15="http://schemas.microsoft.com/office/drawing/2012/chart" uri="{CE6537A1-D6FC-4f65-9D91-7224C49458BB}"/>
              </c:extLst>
            </c:dLbl>
            <c:dLbl>
              <c:idx val="9"/>
              <c:tx>
                <c:rich>
                  <a:bodyPr/>
                  <a:lstStyle/>
                  <a:p>
                    <a:r>
                      <a:rPr lang="en-US"/>
                      <a:t>a</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34E-4C69-A6EB-798FE999EE09}"/>
                </c:ext>
                <c:ext xmlns:c15="http://schemas.microsoft.com/office/drawing/2012/chart" uri="{CE6537A1-D6FC-4f65-9D91-7224C49458BB}"/>
              </c:extLst>
            </c:dLbl>
            <c:dLbl>
              <c:idx val="10"/>
              <c:tx>
                <c:rich>
                  <a:bodyPr/>
                  <a:lstStyle/>
                  <a:p>
                    <a:r>
                      <a:rPr lang="en-US"/>
                      <a:t>b</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34E-4C69-A6EB-798FE999EE09}"/>
                </c:ext>
                <c:ext xmlns:c15="http://schemas.microsoft.com/office/drawing/2012/chart" uri="{CE6537A1-D6FC-4f65-9D91-7224C49458BB}"/>
              </c:extLst>
            </c:dLbl>
            <c:dLbl>
              <c:idx val="11"/>
              <c:tx>
                <c:rich>
                  <a:bodyPr/>
                  <a:lstStyle/>
                  <a:p>
                    <a:r>
                      <a:rPr lang="en-US"/>
                      <a:t>a</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34E-4C69-A6EB-798FE999EE09}"/>
                </c:ext>
                <c:ext xmlns:c15="http://schemas.microsoft.com/office/drawing/2012/chart" uri="{CE6537A1-D6FC-4f65-9D91-7224C49458BB}"/>
              </c:extLst>
            </c:dLbl>
            <c:dLbl>
              <c:idx val="12"/>
              <c:tx>
                <c:rich>
                  <a:bodyPr/>
                  <a:lstStyle/>
                  <a:p>
                    <a:r>
                      <a:rPr lang="en-US"/>
                      <a:t>a</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634E-4C69-A6EB-798FE999EE09}"/>
                </c:ext>
                <c:ext xmlns:c15="http://schemas.microsoft.com/office/drawing/2012/chart" uri="{CE6537A1-D6FC-4f65-9D91-7224C49458BB}"/>
              </c:extLst>
            </c:dLbl>
            <c:dLbl>
              <c:idx val="13"/>
              <c:tx>
                <c:rich>
                  <a:bodyPr/>
                  <a:lstStyle/>
                  <a:p>
                    <a:r>
                      <a:rPr lang="en-US"/>
                      <a:t>b</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634E-4C69-A6EB-798FE999EE09}"/>
                </c:ext>
                <c:ext xmlns:c15="http://schemas.microsoft.com/office/drawing/2012/chart" uri="{CE6537A1-D6FC-4f65-9D91-7224C49458BB}"/>
              </c:extLst>
            </c:dLbl>
            <c:dLbl>
              <c:idx val="14"/>
              <c:tx>
                <c:rich>
                  <a:bodyPr/>
                  <a:lstStyle/>
                  <a:p>
                    <a:r>
                      <a:rPr lang="en-US"/>
                      <a:t>a</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634E-4C69-A6EB-798FE999EE09}"/>
                </c:ext>
                <c:ext xmlns:c15="http://schemas.microsoft.com/office/drawing/2012/chart" uri="{CE6537A1-D6FC-4f65-9D91-7224C49458BB}"/>
              </c:extLst>
            </c:dLbl>
            <c:dLbl>
              <c:idx val="15"/>
              <c:tx>
                <c:rich>
                  <a:bodyPr/>
                  <a:lstStyle/>
                  <a:p>
                    <a:r>
                      <a:rPr lang="en-US"/>
                      <a:t>b</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34E-4C69-A6EB-798FE999EE09}"/>
                </c:ext>
                <c:ext xmlns:c15="http://schemas.microsoft.com/office/drawing/2012/chart" uri="{CE6537A1-D6FC-4f65-9D91-7224C49458BB}"/>
              </c:extLst>
            </c:dLbl>
            <c:dLbl>
              <c:idx val="16"/>
              <c:tx>
                <c:rich>
                  <a:bodyPr/>
                  <a:lstStyle/>
                  <a:p>
                    <a:r>
                      <a:rPr lang="en-US"/>
                      <a:t>a</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634E-4C69-A6EB-798FE999EE0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B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ln>
              <a:effectLst/>
            </c:spPr>
          </c:errBars>
          <c:cat>
            <c:strRef>
              <c:f>lraiz!$A$17:$A$33</c:f>
              <c:strCache>
                <c:ptCount val="17"/>
                <c:pt idx="0">
                  <c:v>FB0</c:v>
                </c:pt>
                <c:pt idx="1">
                  <c:v>FB1</c:v>
                </c:pt>
                <c:pt idx="2">
                  <c:v>FB2</c:v>
                </c:pt>
                <c:pt idx="3">
                  <c:v>FB3</c:v>
                </c:pt>
                <c:pt idx="4">
                  <c:v>FB4</c:v>
                </c:pt>
                <c:pt idx="5">
                  <c:v>FB5</c:v>
                </c:pt>
                <c:pt idx="6">
                  <c:v>FB6</c:v>
                </c:pt>
                <c:pt idx="7">
                  <c:v>FB7</c:v>
                </c:pt>
                <c:pt idx="8">
                  <c:v>FB8</c:v>
                </c:pt>
                <c:pt idx="9">
                  <c:v>FB9</c:v>
                </c:pt>
                <c:pt idx="10">
                  <c:v>FB10</c:v>
                </c:pt>
                <c:pt idx="11">
                  <c:v>FB11</c:v>
                </c:pt>
                <c:pt idx="12">
                  <c:v>FB12</c:v>
                </c:pt>
                <c:pt idx="13">
                  <c:v>FB13</c:v>
                </c:pt>
                <c:pt idx="14">
                  <c:v>FB14</c:v>
                </c:pt>
                <c:pt idx="15">
                  <c:v>FB15</c:v>
                </c:pt>
                <c:pt idx="16">
                  <c:v>Bio</c:v>
                </c:pt>
              </c:strCache>
            </c:strRef>
          </c:cat>
          <c:val>
            <c:numRef>
              <c:f>lraiz!$B$17:$B$33</c:f>
              <c:numCache>
                <c:formatCode>General</c:formatCode>
                <c:ptCount val="17"/>
                <c:pt idx="0">
                  <c:v>31.5</c:v>
                </c:pt>
                <c:pt idx="1">
                  <c:v>48.6666667</c:v>
                </c:pt>
                <c:pt idx="2">
                  <c:v>40.4166667</c:v>
                </c:pt>
                <c:pt idx="3">
                  <c:v>42</c:v>
                </c:pt>
                <c:pt idx="4">
                  <c:v>39.75</c:v>
                </c:pt>
                <c:pt idx="5">
                  <c:v>44.3333333</c:v>
                </c:pt>
                <c:pt idx="6">
                  <c:v>44.3333333</c:v>
                </c:pt>
                <c:pt idx="7">
                  <c:v>38.8333333</c:v>
                </c:pt>
                <c:pt idx="8">
                  <c:v>48.3333333</c:v>
                </c:pt>
                <c:pt idx="9">
                  <c:v>41.1666667</c:v>
                </c:pt>
                <c:pt idx="10">
                  <c:v>39.1666667</c:v>
                </c:pt>
                <c:pt idx="11">
                  <c:v>40.6666667</c:v>
                </c:pt>
                <c:pt idx="12">
                  <c:v>49.1666667</c:v>
                </c:pt>
                <c:pt idx="13">
                  <c:v>38.5</c:v>
                </c:pt>
                <c:pt idx="14">
                  <c:v>47.3333333</c:v>
                </c:pt>
                <c:pt idx="15">
                  <c:v>39.1666667</c:v>
                </c:pt>
                <c:pt idx="16">
                  <c:v>42.6666667</c:v>
                </c:pt>
              </c:numCache>
            </c:numRef>
          </c:val>
          <c:extLst xmlns:c16r2="http://schemas.microsoft.com/office/drawing/2015/06/chart">
            <c:ext xmlns:c16="http://schemas.microsoft.com/office/drawing/2014/chart" uri="{C3380CC4-5D6E-409C-BE32-E72D297353CC}">
              <c16:uniqueId val="{00000011-634E-4C69-A6EB-798FE999EE09}"/>
            </c:ext>
          </c:extLst>
        </c:ser>
        <c:dLbls>
          <c:dLblPos val="inEnd"/>
          <c:showLegendKey val="0"/>
          <c:showVal val="1"/>
          <c:showCatName val="0"/>
          <c:showSerName val="0"/>
          <c:showPercent val="0"/>
          <c:showBubbleSize val="0"/>
        </c:dLbls>
        <c:gapWidth val="100"/>
        <c:overlap val="-24"/>
        <c:axId val="229702720"/>
        <c:axId val="347413488"/>
      </c:barChart>
      <c:catAx>
        <c:axId val="22970272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Bacterias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s-BO"/>
          </a:p>
        </c:txPr>
        <c:crossAx val="347413488"/>
        <c:crosses val="autoZero"/>
        <c:auto val="1"/>
        <c:lblAlgn val="ctr"/>
        <c:lblOffset val="100"/>
        <c:noMultiLvlLbl val="0"/>
      </c:catAx>
      <c:valAx>
        <c:axId val="347413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cap="all" baseline="0">
                    <a:solidFill>
                      <a:schemeClr val="tx1">
                        <a:lumMod val="50000"/>
                        <a:lumOff val="50000"/>
                      </a:schemeClr>
                    </a:solidFill>
                    <a:latin typeface="+mn-lt"/>
                    <a:ea typeface="+mn-ea"/>
                    <a:cs typeface="+mn-cs"/>
                  </a:defRPr>
                </a:pPr>
                <a:r>
                  <a:rPr lang="en-US" sz="800"/>
                  <a:t>Longitud de la raiz (</a:t>
                </a:r>
                <a:r>
                  <a:rPr lang="en-US" sz="800" cap="none"/>
                  <a:t>cm</a:t>
                </a:r>
                <a:r>
                  <a:rPr lang="en-US" sz="800"/>
                  <a:t>)</a:t>
                </a:r>
              </a:p>
            </c:rich>
          </c:tx>
          <c:layout>
            <c:manualLayout>
              <c:xMode val="edge"/>
              <c:yMode val="edge"/>
              <c:x val="3.6798528058877643E-2"/>
              <c:y val="0.12259047619047621"/>
            </c:manualLayout>
          </c:layout>
          <c:overlay val="0"/>
          <c:spPr>
            <a:noFill/>
            <a:ln>
              <a:noFill/>
            </a:ln>
            <a:effectLst/>
          </c:spPr>
          <c:txPr>
            <a:bodyPr rot="-5400000" spcFirstLastPara="1" vertOverflow="ellipsis" vert="horz" wrap="square" anchor="ctr" anchorCtr="1"/>
            <a:lstStyle/>
            <a:p>
              <a:pPr>
                <a:defRPr sz="800" b="0" i="0" u="none" strike="noStrike" kern="1200" cap="all" baseline="0">
                  <a:solidFill>
                    <a:schemeClr val="tx1">
                      <a:lumMod val="50000"/>
                      <a:lumOff val="50000"/>
                    </a:schemeClr>
                  </a:solidFill>
                  <a:latin typeface="+mn-lt"/>
                  <a:ea typeface="+mn-ea"/>
                  <a:cs typeface="+mn-cs"/>
                </a:defRPr>
              </a:pPr>
              <a:endParaRPr lang="es-B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BO"/>
          </a:p>
        </c:txPr>
        <c:crossAx val="22970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817A5-B838-4C3F-866D-90150A0B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4673</Words>
  <Characters>25707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2022-07-26T15:25:00Z</cp:lastPrinted>
  <dcterms:created xsi:type="dcterms:W3CDTF">2022-09-23T14:55:00Z</dcterms:created>
  <dcterms:modified xsi:type="dcterms:W3CDTF">2022-09-23T15:21:00Z</dcterms:modified>
</cp:coreProperties>
</file>