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1.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2.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3.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794" w:rsidRPr="00711CC4" w:rsidRDefault="00B67794" w:rsidP="00B67794">
      <w:pPr>
        <w:autoSpaceDE w:val="0"/>
        <w:autoSpaceDN w:val="0"/>
        <w:adjustRightInd w:val="0"/>
        <w:spacing w:after="0" w:line="360" w:lineRule="auto"/>
        <w:rPr>
          <w:rFonts w:ascii="Arial" w:hAnsi="Arial" w:cs="Arial"/>
          <w:b/>
          <w:bCs/>
          <w:color w:val="000000"/>
        </w:rPr>
      </w:pPr>
    </w:p>
    <w:p w:rsidR="00B67794" w:rsidRPr="00711CC4" w:rsidRDefault="00B67794" w:rsidP="00B67794">
      <w:pPr>
        <w:autoSpaceDE w:val="0"/>
        <w:autoSpaceDN w:val="0"/>
        <w:adjustRightInd w:val="0"/>
        <w:spacing w:after="0" w:line="360" w:lineRule="auto"/>
        <w:jc w:val="center"/>
        <w:rPr>
          <w:rFonts w:ascii="Arial" w:hAnsi="Arial" w:cs="Arial"/>
          <w:color w:val="000000"/>
        </w:rPr>
      </w:pPr>
      <w:r w:rsidRPr="00711CC4">
        <w:rPr>
          <w:rFonts w:ascii="Arial" w:hAnsi="Arial" w:cs="Arial"/>
          <w:b/>
          <w:bCs/>
          <w:color w:val="000000"/>
        </w:rPr>
        <w:t>UNIVERSIDAD MAYOR DE SAN ANDRÉS</w:t>
      </w:r>
    </w:p>
    <w:p w:rsidR="00B67794" w:rsidRPr="00711CC4" w:rsidRDefault="00B67794" w:rsidP="00B67794">
      <w:pPr>
        <w:autoSpaceDE w:val="0"/>
        <w:autoSpaceDN w:val="0"/>
        <w:adjustRightInd w:val="0"/>
        <w:spacing w:after="0" w:line="360" w:lineRule="auto"/>
        <w:jc w:val="center"/>
        <w:rPr>
          <w:rFonts w:ascii="Arial" w:hAnsi="Arial" w:cs="Arial"/>
          <w:color w:val="000000"/>
        </w:rPr>
      </w:pPr>
      <w:r w:rsidRPr="00711CC4">
        <w:rPr>
          <w:rFonts w:ascii="Arial" w:hAnsi="Arial" w:cs="Arial"/>
          <w:b/>
          <w:bCs/>
          <w:color w:val="000000"/>
        </w:rPr>
        <w:t>FACULTAD DE AGRONOMÍA</w:t>
      </w:r>
    </w:p>
    <w:p w:rsidR="00B67794" w:rsidRPr="00711CC4" w:rsidRDefault="00B67794" w:rsidP="00B67794">
      <w:pPr>
        <w:autoSpaceDE w:val="0"/>
        <w:autoSpaceDN w:val="0"/>
        <w:adjustRightInd w:val="0"/>
        <w:spacing w:after="0" w:line="360" w:lineRule="auto"/>
        <w:jc w:val="center"/>
        <w:rPr>
          <w:rFonts w:ascii="Arial" w:hAnsi="Arial" w:cs="Arial"/>
          <w:color w:val="000000"/>
        </w:rPr>
      </w:pPr>
      <w:r w:rsidRPr="00711CC4">
        <w:rPr>
          <w:rFonts w:ascii="Arial" w:hAnsi="Arial" w:cs="Arial"/>
          <w:b/>
          <w:noProof/>
          <w:lang w:eastAsia="es-ES"/>
        </w:rPr>
        <w:drawing>
          <wp:anchor distT="0" distB="0" distL="114300" distR="114300" simplePos="0" relativeHeight="251659264" behindDoc="0" locked="0" layoutInCell="0" allowOverlap="1" wp14:anchorId="4B8FF2F6" wp14:editId="6C68B296">
            <wp:simplePos x="0" y="0"/>
            <wp:positionH relativeFrom="column">
              <wp:posOffset>1778635</wp:posOffset>
            </wp:positionH>
            <wp:positionV relativeFrom="paragraph">
              <wp:posOffset>559435</wp:posOffset>
            </wp:positionV>
            <wp:extent cx="1972945" cy="3159760"/>
            <wp:effectExtent l="0" t="0" r="0" b="2540"/>
            <wp:wrapTopAndBottom/>
            <wp:docPr id="1" name="Imagen 1" descr="U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7" descr="Ums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2945" cy="3159760"/>
                    </a:xfrm>
                    <a:prstGeom prst="rect">
                      <a:avLst/>
                    </a:prstGeom>
                    <a:noFill/>
                  </pic:spPr>
                </pic:pic>
              </a:graphicData>
            </a:graphic>
            <wp14:sizeRelH relativeFrom="page">
              <wp14:pctWidth>0</wp14:pctWidth>
            </wp14:sizeRelH>
            <wp14:sizeRelV relativeFrom="page">
              <wp14:pctHeight>0</wp14:pctHeight>
            </wp14:sizeRelV>
          </wp:anchor>
        </w:drawing>
      </w:r>
      <w:r w:rsidRPr="00711CC4">
        <w:rPr>
          <w:rFonts w:ascii="Arial" w:hAnsi="Arial" w:cs="Arial"/>
          <w:b/>
          <w:bCs/>
          <w:color w:val="000000"/>
        </w:rPr>
        <w:t>CARRERA DE INGENIERÍA AGRONÓMICA</w:t>
      </w:r>
    </w:p>
    <w:p w:rsidR="00B67794" w:rsidRPr="00711CC4" w:rsidRDefault="00B67794" w:rsidP="00B67794">
      <w:pPr>
        <w:spacing w:line="360" w:lineRule="auto"/>
        <w:ind w:left="426"/>
        <w:jc w:val="both"/>
        <w:rPr>
          <w:rFonts w:ascii="Arial" w:hAnsi="Arial" w:cs="Arial"/>
          <w:b/>
        </w:rPr>
      </w:pPr>
    </w:p>
    <w:p w:rsidR="00B67794" w:rsidRPr="00711CC4" w:rsidRDefault="00B67794" w:rsidP="00B67794">
      <w:pPr>
        <w:spacing w:line="360" w:lineRule="auto"/>
        <w:jc w:val="center"/>
        <w:rPr>
          <w:rFonts w:ascii="Arial" w:hAnsi="Arial" w:cs="Arial"/>
          <w:b/>
        </w:rPr>
      </w:pPr>
      <w:r w:rsidRPr="00711CC4">
        <w:rPr>
          <w:rFonts w:ascii="Arial" w:hAnsi="Arial" w:cs="Arial"/>
          <w:b/>
        </w:rPr>
        <w:t>TESIS DE GRADO</w:t>
      </w:r>
    </w:p>
    <w:p w:rsidR="00B67794" w:rsidRPr="00711CC4" w:rsidRDefault="00B67794" w:rsidP="00B67794">
      <w:pPr>
        <w:tabs>
          <w:tab w:val="left" w:pos="3809"/>
        </w:tabs>
        <w:spacing w:line="360" w:lineRule="auto"/>
        <w:ind w:left="426"/>
        <w:jc w:val="center"/>
        <w:rPr>
          <w:rFonts w:ascii="Arial" w:hAnsi="Arial" w:cs="Arial"/>
        </w:rPr>
      </w:pPr>
    </w:p>
    <w:p w:rsidR="00B67794" w:rsidRPr="00711CC4" w:rsidRDefault="00B67794" w:rsidP="00B67794">
      <w:pPr>
        <w:tabs>
          <w:tab w:val="left" w:pos="4664"/>
        </w:tabs>
        <w:spacing w:line="360" w:lineRule="auto"/>
        <w:jc w:val="center"/>
        <w:rPr>
          <w:rFonts w:ascii="Arial" w:hAnsi="Arial" w:cs="Arial"/>
          <w:b/>
        </w:rPr>
      </w:pPr>
      <w:r w:rsidRPr="00711CC4">
        <w:rPr>
          <w:rFonts w:ascii="Arial" w:hAnsi="Arial" w:cs="Arial"/>
          <w:b/>
        </w:rPr>
        <w:t>EVALUACIÓN DE LA RESISTENCIA AL MILDIU EN GENOTIPOS DE QUINUA  GENERACIÓN M3, PROVENIENTES DE SEMILLA IRRADIADA CON RAYOS GAMMA CO-60</w:t>
      </w:r>
    </w:p>
    <w:p w:rsidR="00B67794" w:rsidRPr="00711CC4" w:rsidRDefault="00B67794" w:rsidP="00B67794">
      <w:pPr>
        <w:spacing w:line="360" w:lineRule="auto"/>
        <w:ind w:left="426"/>
        <w:jc w:val="center"/>
        <w:rPr>
          <w:rFonts w:ascii="Arial" w:hAnsi="Arial" w:cs="Arial"/>
          <w:b/>
        </w:rPr>
      </w:pPr>
    </w:p>
    <w:p w:rsidR="00B67794" w:rsidRPr="00711CC4" w:rsidRDefault="00B67794" w:rsidP="00B67794">
      <w:pPr>
        <w:spacing w:line="360" w:lineRule="auto"/>
        <w:ind w:left="426"/>
        <w:jc w:val="center"/>
        <w:rPr>
          <w:rFonts w:ascii="Arial" w:hAnsi="Arial" w:cs="Arial"/>
          <w:b/>
        </w:rPr>
      </w:pPr>
    </w:p>
    <w:p w:rsidR="00B67794" w:rsidRPr="00711CC4" w:rsidRDefault="00B67794" w:rsidP="00B67794">
      <w:pPr>
        <w:spacing w:line="360" w:lineRule="auto"/>
        <w:ind w:left="426"/>
        <w:jc w:val="center"/>
        <w:rPr>
          <w:rFonts w:ascii="Arial" w:hAnsi="Arial" w:cs="Arial"/>
          <w:b/>
        </w:rPr>
      </w:pPr>
      <w:r w:rsidRPr="00711CC4">
        <w:rPr>
          <w:rFonts w:ascii="Arial" w:hAnsi="Arial" w:cs="Arial"/>
          <w:b/>
        </w:rPr>
        <w:t>NOEMI SORAIDA QUISPE ROSAS</w:t>
      </w:r>
    </w:p>
    <w:p w:rsidR="00B67794" w:rsidRPr="00711CC4" w:rsidRDefault="00B67794" w:rsidP="00B67794">
      <w:pPr>
        <w:spacing w:line="360" w:lineRule="auto"/>
        <w:ind w:left="426"/>
        <w:jc w:val="center"/>
        <w:rPr>
          <w:rFonts w:ascii="Arial" w:hAnsi="Arial" w:cs="Arial"/>
          <w:b/>
        </w:rPr>
      </w:pPr>
      <w:r w:rsidRPr="00711CC4">
        <w:rPr>
          <w:rFonts w:ascii="Arial" w:hAnsi="Arial" w:cs="Arial"/>
          <w:b/>
        </w:rPr>
        <w:t>LA PAZ – BOLIVIA</w:t>
      </w:r>
    </w:p>
    <w:p w:rsidR="00B67794" w:rsidRPr="00711CC4" w:rsidRDefault="00B67794" w:rsidP="00B67794">
      <w:pPr>
        <w:spacing w:line="360" w:lineRule="auto"/>
        <w:ind w:left="426"/>
        <w:jc w:val="center"/>
        <w:rPr>
          <w:rFonts w:ascii="Arial" w:hAnsi="Arial" w:cs="Arial"/>
          <w:b/>
        </w:rPr>
      </w:pPr>
      <w:r w:rsidRPr="00711CC4">
        <w:rPr>
          <w:rFonts w:ascii="Arial" w:hAnsi="Arial" w:cs="Arial"/>
          <w:b/>
        </w:rPr>
        <w:t>2021</w:t>
      </w:r>
    </w:p>
    <w:p w:rsidR="00B67794" w:rsidRDefault="00B67794" w:rsidP="00B67794">
      <w:pPr>
        <w:spacing w:line="360" w:lineRule="auto"/>
        <w:jc w:val="center"/>
        <w:rPr>
          <w:rFonts w:ascii="Arial" w:hAnsi="Arial" w:cs="Arial"/>
          <w:b/>
        </w:rPr>
      </w:pPr>
    </w:p>
    <w:p w:rsidR="00711CC4" w:rsidRPr="00711CC4" w:rsidRDefault="00711CC4" w:rsidP="00B67794">
      <w:pPr>
        <w:spacing w:line="360" w:lineRule="auto"/>
        <w:jc w:val="center"/>
        <w:rPr>
          <w:rFonts w:ascii="Arial" w:hAnsi="Arial" w:cs="Arial"/>
          <w:b/>
        </w:rPr>
      </w:pPr>
    </w:p>
    <w:p w:rsidR="00032094" w:rsidRPr="00711CC4" w:rsidRDefault="00032094" w:rsidP="00705AB8">
      <w:pPr>
        <w:tabs>
          <w:tab w:val="left" w:pos="4664"/>
        </w:tabs>
        <w:spacing w:after="0" w:line="240" w:lineRule="auto"/>
        <w:jc w:val="center"/>
        <w:rPr>
          <w:rFonts w:ascii="Arial" w:eastAsia="Calibri" w:hAnsi="Arial" w:cs="Arial"/>
          <w:b/>
        </w:rPr>
      </w:pPr>
      <w:r w:rsidRPr="00711CC4">
        <w:rPr>
          <w:rFonts w:ascii="Arial" w:eastAsia="Calibri" w:hAnsi="Arial" w:cs="Arial"/>
          <w:b/>
        </w:rPr>
        <w:lastRenderedPageBreak/>
        <w:t>Capitulo II. Autores</w:t>
      </w:r>
    </w:p>
    <w:p w:rsidR="00032094" w:rsidRPr="00711CC4" w:rsidRDefault="00032094" w:rsidP="00B67794">
      <w:pPr>
        <w:tabs>
          <w:tab w:val="left" w:pos="4664"/>
        </w:tabs>
        <w:spacing w:after="0" w:line="240" w:lineRule="auto"/>
        <w:jc w:val="right"/>
        <w:rPr>
          <w:rFonts w:ascii="Arial" w:eastAsia="Calibri" w:hAnsi="Arial" w:cs="Arial"/>
          <w:b/>
        </w:rPr>
      </w:pPr>
    </w:p>
    <w:p w:rsidR="00032094" w:rsidRPr="00711CC4" w:rsidRDefault="00032094" w:rsidP="00B67794">
      <w:pPr>
        <w:tabs>
          <w:tab w:val="left" w:pos="4664"/>
        </w:tabs>
        <w:spacing w:after="0" w:line="240" w:lineRule="auto"/>
        <w:jc w:val="right"/>
        <w:rPr>
          <w:rFonts w:ascii="Arial" w:eastAsia="Calibri" w:hAnsi="Arial" w:cs="Arial"/>
          <w:b/>
        </w:rPr>
      </w:pPr>
    </w:p>
    <w:p w:rsidR="00032094" w:rsidRPr="00711CC4" w:rsidRDefault="00705AB8" w:rsidP="00032094">
      <w:pPr>
        <w:spacing w:line="480" w:lineRule="auto"/>
        <w:contextualSpacing/>
        <w:rPr>
          <w:rFonts w:ascii="Arial" w:eastAsia="Calibri" w:hAnsi="Arial" w:cs="Arial"/>
          <w:b/>
        </w:rPr>
      </w:pPr>
      <w:proofErr w:type="spellStart"/>
      <w:r w:rsidRPr="00711CC4">
        <w:rPr>
          <w:rFonts w:ascii="Arial" w:eastAsia="Calibri" w:hAnsi="Arial" w:cs="Arial"/>
          <w:b/>
        </w:rPr>
        <w:t>Tesista</w:t>
      </w:r>
      <w:proofErr w:type="spellEnd"/>
      <w:r w:rsidR="00032094" w:rsidRPr="00711CC4">
        <w:rPr>
          <w:rFonts w:ascii="Arial" w:eastAsia="Calibri" w:hAnsi="Arial" w:cs="Arial"/>
          <w:b/>
        </w:rPr>
        <w:t xml:space="preserve">: </w:t>
      </w:r>
      <w:proofErr w:type="spellStart"/>
      <w:r w:rsidR="00032094" w:rsidRPr="00711CC4">
        <w:rPr>
          <w:rFonts w:ascii="Arial" w:eastAsia="Calibri" w:hAnsi="Arial" w:cs="Arial"/>
        </w:rPr>
        <w:t>Noemi</w:t>
      </w:r>
      <w:proofErr w:type="spellEnd"/>
      <w:r w:rsidR="00032094" w:rsidRPr="00711CC4">
        <w:rPr>
          <w:rFonts w:ascii="Arial" w:eastAsia="Calibri" w:hAnsi="Arial" w:cs="Arial"/>
        </w:rPr>
        <w:t xml:space="preserve"> </w:t>
      </w:r>
      <w:proofErr w:type="spellStart"/>
      <w:r w:rsidR="00032094" w:rsidRPr="00711CC4">
        <w:rPr>
          <w:rFonts w:ascii="Arial" w:eastAsia="Calibri" w:hAnsi="Arial" w:cs="Arial"/>
        </w:rPr>
        <w:t>Soraida</w:t>
      </w:r>
      <w:proofErr w:type="spellEnd"/>
      <w:r w:rsidR="00032094" w:rsidRPr="00711CC4">
        <w:rPr>
          <w:rFonts w:ascii="Arial" w:eastAsia="Calibri" w:hAnsi="Arial" w:cs="Arial"/>
        </w:rPr>
        <w:t xml:space="preserve"> Quispe Rosas</w:t>
      </w:r>
      <w:r w:rsidR="00032094" w:rsidRPr="00711CC4">
        <w:rPr>
          <w:rFonts w:ascii="Arial" w:eastAsia="Calibri" w:hAnsi="Arial" w:cs="Arial"/>
          <w:b/>
        </w:rPr>
        <w:t xml:space="preserve"> </w:t>
      </w:r>
    </w:p>
    <w:p w:rsidR="00B67794" w:rsidRPr="00711CC4" w:rsidRDefault="00032094" w:rsidP="00032094">
      <w:pPr>
        <w:spacing w:line="480" w:lineRule="auto"/>
        <w:contextualSpacing/>
        <w:rPr>
          <w:rFonts w:ascii="Arial" w:eastAsia="Calibri" w:hAnsi="Arial" w:cs="Arial"/>
          <w:b/>
        </w:rPr>
      </w:pPr>
      <w:r w:rsidRPr="00711CC4">
        <w:rPr>
          <w:rFonts w:ascii="Arial" w:eastAsia="Calibri" w:hAnsi="Arial" w:cs="Arial"/>
          <w:b/>
        </w:rPr>
        <w:t xml:space="preserve">Correo electrónico: </w:t>
      </w:r>
      <w:r w:rsidRPr="00711CC4">
        <w:rPr>
          <w:rFonts w:ascii="Arial" w:eastAsia="Calibri" w:hAnsi="Arial" w:cs="Arial"/>
        </w:rPr>
        <w:t>soraida123agro@gmail.com</w:t>
      </w:r>
    </w:p>
    <w:p w:rsidR="00032094" w:rsidRPr="00711CC4" w:rsidRDefault="00C526F2" w:rsidP="00032094">
      <w:pPr>
        <w:spacing w:line="360" w:lineRule="auto"/>
        <w:rPr>
          <w:rFonts w:ascii="Arial" w:eastAsia="Calibri" w:hAnsi="Arial" w:cs="Arial"/>
        </w:rPr>
      </w:pPr>
      <w:r w:rsidRPr="00711CC4">
        <w:rPr>
          <w:rFonts w:ascii="Arial" w:eastAsia="Calibri" w:hAnsi="Arial" w:cs="Arial"/>
          <w:b/>
        </w:rPr>
        <w:t xml:space="preserve">Asesores: </w:t>
      </w:r>
      <w:r w:rsidR="00B67794" w:rsidRPr="00711CC4">
        <w:rPr>
          <w:rFonts w:ascii="Arial" w:eastAsia="Calibri" w:hAnsi="Arial" w:cs="Arial"/>
        </w:rPr>
        <w:t xml:space="preserve">Ing. </w:t>
      </w:r>
      <w:proofErr w:type="spellStart"/>
      <w:r w:rsidR="00B67794" w:rsidRPr="00711CC4">
        <w:rPr>
          <w:rFonts w:ascii="Arial" w:eastAsia="Calibri" w:hAnsi="Arial" w:cs="Arial"/>
        </w:rPr>
        <w:t>Ph</w:t>
      </w:r>
      <w:proofErr w:type="spellEnd"/>
      <w:r w:rsidR="00B67794" w:rsidRPr="00711CC4">
        <w:rPr>
          <w:rFonts w:ascii="Arial" w:eastAsia="Calibri" w:hAnsi="Arial" w:cs="Arial"/>
        </w:rPr>
        <w:t xml:space="preserve">. D. Alejandro Bonifacio Flores                    </w:t>
      </w:r>
    </w:p>
    <w:p w:rsidR="002C345A" w:rsidRPr="00711CC4" w:rsidRDefault="00C526F2" w:rsidP="00B67794">
      <w:pPr>
        <w:spacing w:line="360" w:lineRule="auto"/>
        <w:rPr>
          <w:rFonts w:ascii="Arial" w:eastAsia="Calibri" w:hAnsi="Arial" w:cs="Arial"/>
        </w:rPr>
      </w:pPr>
      <w:r w:rsidRPr="00711CC4">
        <w:rPr>
          <w:rFonts w:ascii="Arial" w:eastAsia="Calibri" w:hAnsi="Arial" w:cs="Arial"/>
        </w:rPr>
        <w:t xml:space="preserve">                  </w:t>
      </w:r>
      <w:r w:rsidR="00B67794" w:rsidRPr="00711CC4">
        <w:rPr>
          <w:rFonts w:ascii="Arial" w:eastAsia="Calibri" w:hAnsi="Arial" w:cs="Arial"/>
        </w:rPr>
        <w:t xml:space="preserve">Ing. Edgar Gómez  Villalba   </w:t>
      </w:r>
    </w:p>
    <w:p w:rsidR="00032094" w:rsidRPr="00711CC4" w:rsidRDefault="00705AB8" w:rsidP="00B67794">
      <w:pPr>
        <w:spacing w:line="360" w:lineRule="auto"/>
        <w:rPr>
          <w:rFonts w:ascii="Arial" w:eastAsia="Calibri" w:hAnsi="Arial" w:cs="Arial"/>
        </w:rPr>
      </w:pPr>
      <w:r w:rsidRPr="00711CC4">
        <w:rPr>
          <w:rFonts w:ascii="Arial" w:eastAsia="Calibri" w:hAnsi="Arial" w:cs="Arial"/>
          <w:b/>
        </w:rPr>
        <w:t>Correo electrónico</w:t>
      </w:r>
      <w:r w:rsidRPr="00711CC4">
        <w:rPr>
          <w:rFonts w:ascii="Arial" w:eastAsia="Calibri" w:hAnsi="Arial" w:cs="Arial"/>
        </w:rPr>
        <w:t xml:space="preserve">: </w:t>
      </w:r>
      <w:r w:rsidRPr="00711CC4">
        <w:rPr>
          <w:rFonts w:ascii="Arial" w:hAnsi="Arial" w:cs="Arial"/>
          <w:color w:val="222222"/>
          <w:shd w:val="clear" w:color="auto" w:fill="FFFFFF"/>
        </w:rPr>
        <w:t>gomezvedgar@gmail.com</w:t>
      </w:r>
      <w:r w:rsidR="00B67794" w:rsidRPr="00711CC4">
        <w:rPr>
          <w:rFonts w:ascii="Arial" w:eastAsia="Calibri" w:hAnsi="Arial" w:cs="Arial"/>
        </w:rPr>
        <w:t xml:space="preserve">  </w:t>
      </w:r>
      <w:r w:rsidR="00032094" w:rsidRPr="00711CC4">
        <w:rPr>
          <w:rFonts w:ascii="Arial" w:eastAsia="Calibri" w:hAnsi="Arial" w:cs="Arial"/>
        </w:rPr>
        <w:t xml:space="preserve">                     </w:t>
      </w:r>
    </w:p>
    <w:p w:rsidR="00B67794" w:rsidRPr="00711CC4" w:rsidRDefault="00C526F2" w:rsidP="00C526F2">
      <w:pPr>
        <w:spacing w:line="360" w:lineRule="auto"/>
        <w:rPr>
          <w:rFonts w:ascii="Arial" w:eastAsia="Calibri" w:hAnsi="Arial" w:cs="Arial"/>
          <w:b/>
        </w:rPr>
      </w:pPr>
      <w:r w:rsidRPr="00711CC4">
        <w:rPr>
          <w:rFonts w:ascii="Arial" w:eastAsia="Calibri" w:hAnsi="Arial" w:cs="Arial"/>
        </w:rPr>
        <w:t xml:space="preserve">                 </w:t>
      </w:r>
      <w:r w:rsidR="00032094" w:rsidRPr="00711CC4">
        <w:rPr>
          <w:rFonts w:ascii="Arial" w:eastAsia="Calibri" w:hAnsi="Arial" w:cs="Arial"/>
        </w:rPr>
        <w:t xml:space="preserve"> </w:t>
      </w:r>
      <w:r w:rsidR="00B67794" w:rsidRPr="00711CC4">
        <w:rPr>
          <w:rFonts w:ascii="Arial" w:eastAsia="Calibri" w:hAnsi="Arial" w:cs="Arial"/>
        </w:rPr>
        <w:t xml:space="preserve">Ing. Nora Mamani Condori                                      </w:t>
      </w:r>
    </w:p>
    <w:p w:rsidR="00032094" w:rsidRPr="00711CC4" w:rsidRDefault="00B67794" w:rsidP="00B67794">
      <w:pPr>
        <w:spacing w:line="360" w:lineRule="auto"/>
        <w:rPr>
          <w:rFonts w:ascii="Arial" w:eastAsia="Calibri" w:hAnsi="Arial" w:cs="Arial"/>
          <w:noProof/>
          <w:lang w:eastAsia="es-ES"/>
        </w:rPr>
      </w:pPr>
      <w:r w:rsidRPr="00711CC4">
        <w:rPr>
          <w:rFonts w:ascii="Arial" w:eastAsia="Calibri" w:hAnsi="Arial" w:cs="Arial"/>
          <w:b/>
        </w:rPr>
        <w:t>Tribunal Examinador</w:t>
      </w:r>
      <w:r w:rsidR="00032094" w:rsidRPr="00711CC4">
        <w:rPr>
          <w:rFonts w:ascii="Arial" w:eastAsia="Calibri" w:hAnsi="Arial" w:cs="Arial"/>
          <w:noProof/>
          <w:lang w:eastAsia="es-ES"/>
        </w:rPr>
        <w:t xml:space="preserve">: </w:t>
      </w:r>
      <w:r w:rsidRPr="00711CC4">
        <w:rPr>
          <w:rFonts w:ascii="Arial" w:eastAsia="Calibri" w:hAnsi="Arial" w:cs="Arial"/>
          <w:noProof/>
          <w:lang w:eastAsia="es-ES"/>
        </w:rPr>
        <w:t xml:space="preserve">Ing. Ph.D.  David Cruz  Choque                              </w:t>
      </w:r>
    </w:p>
    <w:p w:rsidR="00B67794" w:rsidRPr="00711CC4" w:rsidRDefault="00032094" w:rsidP="00B67794">
      <w:pPr>
        <w:spacing w:line="360" w:lineRule="auto"/>
        <w:rPr>
          <w:rFonts w:ascii="Arial" w:eastAsia="Calibri" w:hAnsi="Arial" w:cs="Arial"/>
          <w:b/>
        </w:rPr>
      </w:pPr>
      <w:r w:rsidRPr="00711CC4">
        <w:rPr>
          <w:rFonts w:ascii="Arial" w:eastAsia="Calibri" w:hAnsi="Arial" w:cs="Arial"/>
          <w:noProof/>
          <w:lang w:eastAsia="es-ES"/>
        </w:rPr>
        <w:t xml:space="preserve">                                     </w:t>
      </w:r>
      <w:r w:rsidR="00B67794" w:rsidRPr="00711CC4">
        <w:rPr>
          <w:rFonts w:ascii="Arial" w:eastAsia="Calibri" w:hAnsi="Arial" w:cs="Arial"/>
          <w:noProof/>
          <w:lang w:eastAsia="es-ES"/>
        </w:rPr>
        <w:t xml:space="preserve"> Ing. Ph. D. José Yakov Arteaga Garcia.                      </w:t>
      </w:r>
    </w:p>
    <w:p w:rsidR="00B67794" w:rsidRPr="00711CC4" w:rsidRDefault="00032094" w:rsidP="00B67794">
      <w:pPr>
        <w:spacing w:line="360" w:lineRule="auto"/>
        <w:rPr>
          <w:rFonts w:ascii="Arial" w:eastAsia="Calibri" w:hAnsi="Arial" w:cs="Arial"/>
        </w:rPr>
      </w:pPr>
      <w:r w:rsidRPr="00711CC4">
        <w:rPr>
          <w:rFonts w:ascii="Arial" w:eastAsia="Calibri" w:hAnsi="Arial" w:cs="Arial"/>
          <w:b/>
        </w:rPr>
        <w:t>Año de defensa del trabajo</w:t>
      </w:r>
      <w:r w:rsidRPr="00711CC4">
        <w:rPr>
          <w:rFonts w:ascii="Arial" w:eastAsia="Calibri" w:hAnsi="Arial" w:cs="Arial"/>
        </w:rPr>
        <w:t>: 10 de mayo 2021</w:t>
      </w:r>
    </w:p>
    <w:p w:rsidR="00032094" w:rsidRPr="00711CC4" w:rsidRDefault="00C526F2" w:rsidP="00B67794">
      <w:pPr>
        <w:spacing w:line="360" w:lineRule="auto"/>
        <w:jc w:val="both"/>
        <w:rPr>
          <w:rFonts w:ascii="Arial" w:hAnsi="Arial" w:cs="Arial"/>
        </w:rPr>
      </w:pPr>
      <w:r w:rsidRPr="00711CC4">
        <w:rPr>
          <w:rFonts w:ascii="Arial" w:eastAsia="Calibri" w:hAnsi="Arial" w:cs="Arial"/>
          <w:b/>
        </w:rPr>
        <w:t xml:space="preserve">Nombre de la Universidad: </w:t>
      </w:r>
      <w:r w:rsidRPr="00711CC4">
        <w:rPr>
          <w:rFonts w:ascii="Arial" w:eastAsia="Calibri" w:hAnsi="Arial" w:cs="Arial"/>
        </w:rPr>
        <w:t>Universidad Mayor de San Andrés-Facultad de Agronomía</w:t>
      </w:r>
    </w:p>
    <w:p w:rsidR="00B67794" w:rsidRPr="00711CC4" w:rsidRDefault="00B67794" w:rsidP="00B67794">
      <w:pPr>
        <w:spacing w:line="360" w:lineRule="auto"/>
        <w:jc w:val="both"/>
        <w:rPr>
          <w:rFonts w:ascii="Arial" w:hAnsi="Arial" w:cs="Arial"/>
        </w:rPr>
      </w:pPr>
    </w:p>
    <w:p w:rsidR="00B67794" w:rsidRPr="00711CC4" w:rsidRDefault="00B67794" w:rsidP="00B67794">
      <w:pPr>
        <w:spacing w:line="360" w:lineRule="auto"/>
        <w:jc w:val="both"/>
        <w:rPr>
          <w:rFonts w:ascii="Arial" w:hAnsi="Arial" w:cs="Arial"/>
          <w:b/>
        </w:rPr>
      </w:pPr>
    </w:p>
    <w:p w:rsidR="00C526F2" w:rsidRPr="00711CC4" w:rsidRDefault="00C526F2" w:rsidP="00B67794">
      <w:pPr>
        <w:spacing w:line="360" w:lineRule="auto"/>
        <w:jc w:val="both"/>
        <w:rPr>
          <w:rFonts w:ascii="Arial" w:hAnsi="Arial" w:cs="Arial"/>
          <w:b/>
        </w:rPr>
      </w:pPr>
    </w:p>
    <w:p w:rsidR="00C526F2" w:rsidRPr="00711CC4" w:rsidRDefault="00C526F2" w:rsidP="00B67794">
      <w:pPr>
        <w:spacing w:line="360" w:lineRule="auto"/>
        <w:jc w:val="both"/>
        <w:rPr>
          <w:rFonts w:ascii="Arial" w:hAnsi="Arial" w:cs="Arial"/>
          <w:b/>
        </w:rPr>
      </w:pPr>
    </w:p>
    <w:p w:rsidR="00C526F2" w:rsidRPr="00711CC4" w:rsidRDefault="00C526F2" w:rsidP="00B67794">
      <w:pPr>
        <w:spacing w:line="360" w:lineRule="auto"/>
        <w:jc w:val="both"/>
        <w:rPr>
          <w:rFonts w:ascii="Arial" w:hAnsi="Arial" w:cs="Arial"/>
          <w:b/>
        </w:rPr>
      </w:pPr>
    </w:p>
    <w:p w:rsidR="00C526F2" w:rsidRPr="00711CC4" w:rsidRDefault="00C526F2" w:rsidP="00B67794">
      <w:pPr>
        <w:spacing w:line="360" w:lineRule="auto"/>
        <w:jc w:val="both"/>
        <w:rPr>
          <w:rFonts w:ascii="Arial" w:hAnsi="Arial" w:cs="Arial"/>
          <w:b/>
        </w:rPr>
      </w:pPr>
    </w:p>
    <w:p w:rsidR="00C526F2" w:rsidRPr="00711CC4" w:rsidRDefault="00C526F2" w:rsidP="00B67794">
      <w:pPr>
        <w:spacing w:line="360" w:lineRule="auto"/>
        <w:jc w:val="both"/>
        <w:rPr>
          <w:rFonts w:ascii="Arial" w:hAnsi="Arial" w:cs="Arial"/>
          <w:b/>
        </w:rPr>
      </w:pPr>
    </w:p>
    <w:p w:rsidR="00C526F2" w:rsidRPr="00711CC4" w:rsidRDefault="00C526F2" w:rsidP="00B67794">
      <w:pPr>
        <w:spacing w:line="360" w:lineRule="auto"/>
        <w:jc w:val="both"/>
        <w:rPr>
          <w:rFonts w:ascii="Arial" w:hAnsi="Arial" w:cs="Arial"/>
          <w:b/>
        </w:rPr>
      </w:pPr>
    </w:p>
    <w:p w:rsidR="00C526F2" w:rsidRPr="00711CC4" w:rsidRDefault="00C526F2" w:rsidP="00B67794">
      <w:pPr>
        <w:spacing w:line="360" w:lineRule="auto"/>
        <w:jc w:val="both"/>
        <w:rPr>
          <w:rFonts w:ascii="Arial" w:hAnsi="Arial" w:cs="Arial"/>
          <w:b/>
        </w:rPr>
      </w:pPr>
    </w:p>
    <w:p w:rsidR="00705AB8" w:rsidRDefault="00705AB8" w:rsidP="00B67794">
      <w:pPr>
        <w:spacing w:line="360" w:lineRule="auto"/>
        <w:jc w:val="both"/>
        <w:rPr>
          <w:rFonts w:ascii="Arial" w:hAnsi="Arial" w:cs="Arial"/>
          <w:b/>
        </w:rPr>
      </w:pPr>
    </w:p>
    <w:p w:rsidR="00711CC4" w:rsidRDefault="00711CC4" w:rsidP="00B67794">
      <w:pPr>
        <w:spacing w:line="360" w:lineRule="auto"/>
        <w:jc w:val="both"/>
        <w:rPr>
          <w:rFonts w:ascii="Arial" w:hAnsi="Arial" w:cs="Arial"/>
          <w:b/>
        </w:rPr>
      </w:pPr>
    </w:p>
    <w:p w:rsidR="00711CC4" w:rsidRPr="00711CC4" w:rsidRDefault="00711CC4" w:rsidP="00B67794">
      <w:pPr>
        <w:spacing w:line="360" w:lineRule="auto"/>
        <w:jc w:val="both"/>
        <w:rPr>
          <w:rFonts w:ascii="Arial" w:hAnsi="Arial" w:cs="Arial"/>
          <w:b/>
        </w:rPr>
      </w:pPr>
    </w:p>
    <w:p w:rsidR="002C345A" w:rsidRPr="00711CC4" w:rsidRDefault="002C345A" w:rsidP="002C345A">
      <w:pPr>
        <w:spacing w:line="360" w:lineRule="auto"/>
        <w:rPr>
          <w:rFonts w:ascii="Arial" w:hAnsi="Arial" w:cs="Arial"/>
          <w:b/>
        </w:rPr>
      </w:pPr>
    </w:p>
    <w:p w:rsidR="00C526F2" w:rsidRPr="00711CC4" w:rsidRDefault="00C526F2" w:rsidP="002C345A">
      <w:pPr>
        <w:spacing w:line="360" w:lineRule="auto"/>
        <w:jc w:val="center"/>
        <w:rPr>
          <w:rFonts w:ascii="Arial" w:hAnsi="Arial" w:cs="Arial"/>
          <w:b/>
        </w:rPr>
      </w:pPr>
      <w:r w:rsidRPr="00711CC4">
        <w:rPr>
          <w:rFonts w:ascii="Arial" w:hAnsi="Arial" w:cs="Arial"/>
          <w:b/>
        </w:rPr>
        <w:t>Capitulo III</w:t>
      </w:r>
    </w:p>
    <w:p w:rsidR="00B67794" w:rsidRPr="00711CC4" w:rsidRDefault="00B67794" w:rsidP="00032094">
      <w:pPr>
        <w:tabs>
          <w:tab w:val="left" w:pos="7655"/>
        </w:tabs>
        <w:spacing w:line="360" w:lineRule="auto"/>
        <w:jc w:val="both"/>
        <w:rPr>
          <w:rFonts w:ascii="Arial" w:hAnsi="Arial" w:cs="Arial"/>
          <w:b/>
        </w:rPr>
      </w:pPr>
      <w:r w:rsidRPr="00711CC4">
        <w:rPr>
          <w:rFonts w:ascii="Arial" w:hAnsi="Arial" w:cs="Arial"/>
          <w:b/>
        </w:rPr>
        <w:t>RESUMEN</w:t>
      </w:r>
    </w:p>
    <w:p w:rsidR="00B67794" w:rsidRPr="00711CC4" w:rsidRDefault="00B67794" w:rsidP="00032094">
      <w:pPr>
        <w:spacing w:line="360" w:lineRule="auto"/>
        <w:jc w:val="both"/>
        <w:rPr>
          <w:rFonts w:ascii="Arial" w:hAnsi="Arial" w:cs="Arial"/>
        </w:rPr>
      </w:pPr>
      <w:r w:rsidRPr="00711CC4">
        <w:rPr>
          <w:rFonts w:ascii="Arial" w:hAnsi="Arial" w:cs="Arial"/>
        </w:rPr>
        <w:t xml:space="preserve">El presente trabajo de investigación  se realizó durante  la gestión agrícola 2018-2019 en predios de la Agencia Boliviana de Energía Nuclear (ABEN), provincia </w:t>
      </w:r>
      <w:proofErr w:type="spellStart"/>
      <w:r w:rsidRPr="00711CC4">
        <w:rPr>
          <w:rFonts w:ascii="Arial" w:hAnsi="Arial" w:cs="Arial"/>
        </w:rPr>
        <w:t>Ingavi</w:t>
      </w:r>
      <w:proofErr w:type="spellEnd"/>
      <w:r w:rsidRPr="00711CC4">
        <w:rPr>
          <w:rFonts w:ascii="Arial" w:hAnsi="Arial" w:cs="Arial"/>
        </w:rPr>
        <w:t xml:space="preserve"> del departamento de La Paz, situado a 3 km del municipio de Viacha, como parte del proyecto RLA5068 ¨Aumento del rendimiento y del potencial comercial de los cultivos  de importancia económica (ARCAL CL)¨, con el objetivo de evaluar  la resistencia al mildiu  de tres líneas de quinua de la generación M3 derivado de la variedad Real Negra y un testigo, los mismos que fueron evaluados en laboratorio para probar la viabilidad de la semilla mediante el diseño experimental completamente al azar mientras que la evaluación en campo fue implementada bajo el diseño de bloques al azar con cuatro repeticiones. Las variables  de respuesta  fueron las siguientes: porcentaje de germinación, días a la em</w:t>
      </w:r>
      <w:bookmarkStart w:id="0" w:name="_GoBack"/>
      <w:bookmarkEnd w:id="0"/>
      <w:r w:rsidRPr="00711CC4">
        <w:rPr>
          <w:rFonts w:ascii="Arial" w:hAnsi="Arial" w:cs="Arial"/>
        </w:rPr>
        <w:t xml:space="preserve">ergencia, días a la floración, días a la cosecha, altura de planta, longitud de panoja, peso de grano por panoja, peso de 100 semillas (g), rendimiento de grano (kg/ha), incidencia del mildiu y la severidad de la enfermedad en diferentes fechas de lectura. Las variables registradas fueron sometidas al análisis de varianza y pruebas  de media Duncan bajo el programa estadístico INFOSTAT. </w:t>
      </w:r>
    </w:p>
    <w:p w:rsidR="00B67794" w:rsidRPr="00711CC4" w:rsidRDefault="00B67794" w:rsidP="00032094">
      <w:pPr>
        <w:spacing w:line="360" w:lineRule="auto"/>
        <w:jc w:val="both"/>
        <w:rPr>
          <w:rFonts w:ascii="Arial" w:hAnsi="Arial" w:cs="Arial"/>
        </w:rPr>
      </w:pPr>
      <w:r w:rsidRPr="00711CC4">
        <w:rPr>
          <w:rFonts w:ascii="Arial" w:hAnsi="Arial" w:cs="Arial"/>
        </w:rPr>
        <w:t>Los</w:t>
      </w:r>
      <w:r w:rsidRPr="00711CC4">
        <w:rPr>
          <w:rFonts w:ascii="Arial" w:hAnsi="Arial" w:cs="Arial"/>
          <w:b/>
        </w:rPr>
        <w:t xml:space="preserve"> </w:t>
      </w:r>
      <w:r w:rsidRPr="00711CC4">
        <w:rPr>
          <w:rFonts w:ascii="Arial" w:hAnsi="Arial" w:cs="Arial"/>
        </w:rPr>
        <w:t>resultados obtenidos  muestran que el porcentaje de germinación es similar  en los genotipos  y el testigo.  Con respecto a las variables   fenológicas  en días a la emergencia no se evidenció diferencias significativas entre los tratamientos. En cuanto a días de floración  el tratamiento T1 (G-7) y T2 (G-10) lograron  menor tiempo en alcanzar la floración  a diferencia del T3 (G-15) y el testigo con una diferencia de  20 días. Para días a la cosecha  los genotipos no mostraron diferencias significativas respecto al testigo, logrando alcanzar una madurez fisiológica entre los 177 días después de la siembra.  Para la altura de las plantas se obtuvieron tres grupos de las cuales el T3 y T2 mostraron medias similares con promedios de 38,95 y 38,075 cm a diferencia del testigo que obtuvo una altura de 42.475 cm y con un promedio menor el T1 con 31.300 cm. La longitud de panoja fue similar entre los genotipos y el testigo con un promedio entre 11.65-14.90 cm respectivamente.</w:t>
      </w:r>
    </w:p>
    <w:p w:rsidR="00B67794" w:rsidRPr="00711CC4" w:rsidRDefault="00B67794" w:rsidP="00032094">
      <w:pPr>
        <w:spacing w:line="360" w:lineRule="auto"/>
        <w:jc w:val="both"/>
        <w:rPr>
          <w:rFonts w:ascii="Arial" w:hAnsi="Arial" w:cs="Arial"/>
        </w:rPr>
      </w:pPr>
      <w:r w:rsidRPr="00711CC4">
        <w:rPr>
          <w:rFonts w:ascii="Arial" w:hAnsi="Arial" w:cs="Arial"/>
        </w:rPr>
        <w:t xml:space="preserve">El peso de grano por panoja mostró diferencias significativas entre los tratamientos,  los genotipos con mayor peso  T1, T2 y T3 con 4,25 g, 4,22 g y 3,15 g respectivamente siendo superior al testigo  que reportó 2,42 g. Para  peso de 100 semillas lo genotipos </w:t>
      </w:r>
      <w:r w:rsidRPr="00711CC4">
        <w:rPr>
          <w:rFonts w:ascii="Arial" w:hAnsi="Arial" w:cs="Arial"/>
        </w:rPr>
        <w:lastRenderedPageBreak/>
        <w:t xml:space="preserve">registraron menor peso de 0,32 g, 0,31g y 0.30 g mientras que el testigo fue mayor (0,35 g). </w:t>
      </w:r>
    </w:p>
    <w:p w:rsidR="00B67794" w:rsidRPr="00711CC4" w:rsidRDefault="00B67794" w:rsidP="00032094">
      <w:pPr>
        <w:spacing w:line="360" w:lineRule="auto"/>
        <w:jc w:val="both"/>
        <w:rPr>
          <w:rFonts w:ascii="Arial" w:hAnsi="Arial" w:cs="Arial"/>
        </w:rPr>
      </w:pPr>
      <w:r w:rsidRPr="00711CC4">
        <w:rPr>
          <w:rFonts w:ascii="Arial" w:hAnsi="Arial" w:cs="Arial"/>
        </w:rPr>
        <w:t>Para el rendimiento de grano los tratamientos T1, T2 y T3   alcanzaron medias similares con promedios de 284,20 kg/ha, 272, 25 kg/ha y 459,59 kg/ha y el testigo con un rendimiento de 196,56 kg/ha.</w:t>
      </w:r>
    </w:p>
    <w:p w:rsidR="00B67794" w:rsidRPr="00711CC4" w:rsidRDefault="00B67794" w:rsidP="00032094">
      <w:pPr>
        <w:spacing w:line="360" w:lineRule="auto"/>
        <w:jc w:val="both"/>
        <w:rPr>
          <w:rFonts w:ascii="Arial" w:hAnsi="Arial" w:cs="Arial"/>
        </w:rPr>
      </w:pPr>
      <w:r w:rsidRPr="00711CC4">
        <w:rPr>
          <w:rFonts w:ascii="Arial" w:hAnsi="Arial" w:cs="Arial"/>
        </w:rPr>
        <w:t xml:space="preserve">Respecto a la evaluación de la enfermedad del mildiu los genotipos demostraron un porcentaje de severidad similar en las siete evaluaciones realizadas  durante el ciclo vegetativo desde la fase de ocho hojas verdaderas hasta la fase de formación de grano </w:t>
      </w:r>
      <w:proofErr w:type="spellStart"/>
      <w:r w:rsidRPr="00711CC4">
        <w:rPr>
          <w:rFonts w:ascii="Arial" w:hAnsi="Arial" w:cs="Arial"/>
        </w:rPr>
        <w:t>masoso</w:t>
      </w:r>
      <w:proofErr w:type="spellEnd"/>
      <w:r w:rsidRPr="00711CC4">
        <w:rPr>
          <w:rFonts w:ascii="Arial" w:hAnsi="Arial" w:cs="Arial"/>
        </w:rPr>
        <w:t xml:space="preserve"> obteniendo promedios de 22,70% a 28,90% y con mayor porcentaje de severidad el testigo con promedio de 36,90%. Bajo los cálculos de la curva de progreso  la AUDPC   demostró que el genotipo T2 obtuvo un  área afectada por el patógeno de 1413,70 cm2 lo cual significa que la severidad es menor, a diferencia del testigo que presentó un  área de 2560,61 cm2 por lo que la severidad es mayor confirmando que la variedad Real Negra es susceptible a la enfermedad del mildiu. </w:t>
      </w:r>
    </w:p>
    <w:p w:rsidR="00B67794" w:rsidRPr="00711CC4" w:rsidRDefault="00B67794" w:rsidP="00032094">
      <w:pPr>
        <w:spacing w:line="360" w:lineRule="auto"/>
        <w:jc w:val="both"/>
        <w:rPr>
          <w:rFonts w:ascii="Arial" w:hAnsi="Arial" w:cs="Arial"/>
        </w:rPr>
      </w:pPr>
      <w:r w:rsidRPr="00711CC4">
        <w:rPr>
          <w:rFonts w:ascii="Arial" w:hAnsi="Arial" w:cs="Arial"/>
        </w:rPr>
        <w:t xml:space="preserve">En conclusión, la viabilidad de la semilla de los genotipos en generación M3 </w:t>
      </w:r>
      <w:proofErr w:type="gramStart"/>
      <w:r w:rsidRPr="00711CC4">
        <w:rPr>
          <w:rFonts w:ascii="Arial" w:hAnsi="Arial" w:cs="Arial"/>
        </w:rPr>
        <w:t>son</w:t>
      </w:r>
      <w:proofErr w:type="gramEnd"/>
      <w:r w:rsidRPr="00711CC4">
        <w:rPr>
          <w:rFonts w:ascii="Arial" w:hAnsi="Arial" w:cs="Arial"/>
        </w:rPr>
        <w:t xml:space="preserve"> viables y similares al testigo. En las variables agronómicas se destacan los genotipos T1 y T2 por obtener un mayor rendimiento y presentar precocidad a la floración. En la resistencia al mildiu el genotipo G-10  presentó un progreso lento a enfermedad y menor incidencia de plantas enfermas desde sus primeras fases fenológicas a diferencia del testigo.</w:t>
      </w:r>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sectPr w:rsidR="00B67794" w:rsidRPr="00711CC4" w:rsidSect="00B67794">
          <w:pgSz w:w="11906" w:h="16838"/>
          <w:pgMar w:top="1418" w:right="1418" w:bottom="1418" w:left="1701" w:header="709" w:footer="709" w:gutter="0"/>
          <w:pgNumType w:start="1"/>
          <w:cols w:space="708"/>
          <w:docGrid w:linePitch="360"/>
        </w:sectPr>
      </w:pPr>
    </w:p>
    <w:p w:rsidR="00C526F2" w:rsidRPr="00711CC4" w:rsidRDefault="002C345A" w:rsidP="002C345A">
      <w:pPr>
        <w:keepNext/>
        <w:keepLines/>
        <w:spacing w:before="480" w:after="0" w:line="360" w:lineRule="auto"/>
        <w:jc w:val="center"/>
        <w:outlineLvl w:val="0"/>
        <w:rPr>
          <w:rFonts w:ascii="Arial" w:eastAsiaTheme="majorEastAsia" w:hAnsi="Arial" w:cs="Arial"/>
          <w:b/>
          <w:bCs/>
          <w:color w:val="000000" w:themeColor="text1"/>
        </w:rPr>
      </w:pPr>
      <w:bookmarkStart w:id="1" w:name="_Toc65306528"/>
      <w:r w:rsidRPr="00711CC4">
        <w:rPr>
          <w:rFonts w:ascii="Arial" w:eastAsiaTheme="majorEastAsia" w:hAnsi="Arial" w:cs="Arial"/>
          <w:b/>
          <w:bCs/>
          <w:color w:val="000000" w:themeColor="text1"/>
        </w:rPr>
        <w:lastRenderedPageBreak/>
        <w:t xml:space="preserve">CAPITULO </w:t>
      </w:r>
      <w:r w:rsidR="00C526F2" w:rsidRPr="00711CC4">
        <w:rPr>
          <w:rFonts w:ascii="Arial" w:eastAsiaTheme="majorEastAsia" w:hAnsi="Arial" w:cs="Arial"/>
          <w:b/>
          <w:bCs/>
          <w:color w:val="000000" w:themeColor="text1"/>
        </w:rPr>
        <w:t xml:space="preserve"> IV</w:t>
      </w:r>
    </w:p>
    <w:p w:rsidR="00B67794" w:rsidRPr="00711CC4" w:rsidRDefault="00B67794" w:rsidP="00C526F2">
      <w:pPr>
        <w:pStyle w:val="Ttulo1"/>
        <w:rPr>
          <w:rFonts w:cs="Arial"/>
          <w:sz w:val="22"/>
          <w:szCs w:val="22"/>
        </w:rPr>
      </w:pPr>
      <w:r w:rsidRPr="00711CC4">
        <w:rPr>
          <w:rFonts w:cs="Arial"/>
          <w:sz w:val="22"/>
          <w:szCs w:val="22"/>
        </w:rPr>
        <w:t>INTRODUCCIÓN</w:t>
      </w:r>
      <w:bookmarkEnd w:id="1"/>
      <w:r w:rsidRPr="00711CC4">
        <w:rPr>
          <w:rFonts w:cs="Arial"/>
          <w:sz w:val="22"/>
          <w:szCs w:val="22"/>
        </w:rPr>
        <w:t xml:space="preserve"> </w:t>
      </w:r>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 xml:space="preserve">La quinua </w:t>
      </w:r>
      <w:r w:rsidRPr="00711CC4">
        <w:rPr>
          <w:rFonts w:ascii="Arial" w:hAnsi="Arial" w:cs="Arial"/>
          <w:i/>
        </w:rPr>
        <w:t>(</w:t>
      </w:r>
      <w:proofErr w:type="spellStart"/>
      <w:r w:rsidRPr="00711CC4">
        <w:rPr>
          <w:rFonts w:ascii="Arial" w:hAnsi="Arial" w:cs="Arial"/>
          <w:i/>
        </w:rPr>
        <w:t>Chenopodium</w:t>
      </w:r>
      <w:proofErr w:type="spellEnd"/>
      <w:r w:rsidRPr="00711CC4">
        <w:rPr>
          <w:rFonts w:ascii="Arial" w:hAnsi="Arial" w:cs="Arial"/>
          <w:i/>
        </w:rPr>
        <w:t xml:space="preserve"> </w:t>
      </w:r>
      <w:proofErr w:type="spellStart"/>
      <w:r w:rsidRPr="00711CC4">
        <w:rPr>
          <w:rFonts w:ascii="Arial" w:hAnsi="Arial" w:cs="Arial"/>
          <w:i/>
        </w:rPr>
        <w:t>quinoa</w:t>
      </w:r>
      <w:proofErr w:type="spellEnd"/>
      <w:r w:rsidRPr="00711CC4">
        <w:rPr>
          <w:rFonts w:ascii="Arial" w:hAnsi="Arial" w:cs="Arial"/>
          <w:i/>
        </w:rPr>
        <w:t xml:space="preserve"> </w:t>
      </w:r>
      <w:proofErr w:type="spellStart"/>
      <w:r w:rsidRPr="00711CC4">
        <w:rPr>
          <w:rFonts w:ascii="Arial" w:hAnsi="Arial" w:cs="Arial"/>
        </w:rPr>
        <w:t>Willd</w:t>
      </w:r>
      <w:proofErr w:type="spellEnd"/>
      <w:r w:rsidRPr="00711CC4">
        <w:rPr>
          <w:rFonts w:ascii="Arial" w:hAnsi="Arial" w:cs="Arial"/>
          <w:i/>
        </w:rPr>
        <w:t xml:space="preserve">) </w:t>
      </w:r>
      <w:r w:rsidRPr="00711CC4">
        <w:rPr>
          <w:rFonts w:ascii="Arial" w:hAnsi="Arial" w:cs="Arial"/>
        </w:rPr>
        <w:t xml:space="preserve">es una planta andina que muestra la mayor distribución  y diversidad   de genotipos por alrededores del Lago Titicaca de Perú y Bolivia, encontrándose la mayor diversidad entre Potosí, Bolivia y </w:t>
      </w:r>
      <w:proofErr w:type="spellStart"/>
      <w:r w:rsidRPr="00711CC4">
        <w:rPr>
          <w:rFonts w:ascii="Arial" w:hAnsi="Arial" w:cs="Arial"/>
        </w:rPr>
        <w:t>Sicuani</w:t>
      </w:r>
      <w:proofErr w:type="spellEnd"/>
      <w:r w:rsidRPr="00711CC4">
        <w:rPr>
          <w:rFonts w:ascii="Arial" w:hAnsi="Arial" w:cs="Arial"/>
        </w:rPr>
        <w:t>, Perú. La quinua es caracterizada por ser adaptable a diferentes condiciones agroclimáticas, edáficas (Mujica, 2015 y MINAGRI, 2014).</w:t>
      </w:r>
    </w:p>
    <w:p w:rsidR="00B67794" w:rsidRPr="00711CC4" w:rsidRDefault="00B67794" w:rsidP="00032094">
      <w:pPr>
        <w:spacing w:line="360" w:lineRule="auto"/>
        <w:jc w:val="both"/>
        <w:rPr>
          <w:rFonts w:ascii="Arial" w:hAnsi="Arial" w:cs="Arial"/>
        </w:rPr>
      </w:pPr>
      <w:r w:rsidRPr="00711CC4">
        <w:rPr>
          <w:rFonts w:ascii="Arial" w:hAnsi="Arial" w:cs="Arial"/>
        </w:rPr>
        <w:t>Además es considerada por ser un alimento funcional es decir que aporta en la disminución de  riesgo de enfermedades, debido a sus características nutricionales  en especial por la cantidad y calidad de proteínas, aminoácidos esenciales, calcio, fósforo, hierro, magnesio, vitaminas y fibras solubles e insolubles (MINAGRI, 2014).</w:t>
      </w:r>
    </w:p>
    <w:p w:rsidR="00B67794" w:rsidRPr="00711CC4" w:rsidRDefault="00B67794" w:rsidP="00032094">
      <w:pPr>
        <w:spacing w:line="360" w:lineRule="auto"/>
        <w:jc w:val="both"/>
        <w:rPr>
          <w:rFonts w:ascii="Arial" w:hAnsi="Arial" w:cs="Arial"/>
          <w:b/>
        </w:rPr>
      </w:pPr>
      <w:r w:rsidRPr="00711CC4">
        <w:rPr>
          <w:rFonts w:ascii="Arial" w:hAnsi="Arial" w:cs="Arial"/>
        </w:rPr>
        <w:t xml:space="preserve">La quinua es una planta afectada por plagas y enfermedades, donde la principal enfermedad es el mildiu provocada por el hongo </w:t>
      </w:r>
      <w:proofErr w:type="spellStart"/>
      <w:r w:rsidRPr="00711CC4">
        <w:rPr>
          <w:rFonts w:ascii="Arial" w:hAnsi="Arial" w:cs="Arial"/>
          <w:i/>
        </w:rPr>
        <w:t>Peronospora</w:t>
      </w:r>
      <w:proofErr w:type="spellEnd"/>
      <w:r w:rsidRPr="00711CC4">
        <w:rPr>
          <w:rFonts w:ascii="Arial" w:hAnsi="Arial" w:cs="Arial"/>
          <w:i/>
        </w:rPr>
        <w:t xml:space="preserve"> </w:t>
      </w:r>
      <w:proofErr w:type="spellStart"/>
      <w:r w:rsidRPr="00711CC4">
        <w:rPr>
          <w:rFonts w:ascii="Arial" w:hAnsi="Arial" w:cs="Arial"/>
          <w:i/>
        </w:rPr>
        <w:t>variabilis</w:t>
      </w:r>
      <w:proofErr w:type="spellEnd"/>
      <w:r w:rsidRPr="00711CC4">
        <w:rPr>
          <w:rFonts w:ascii="Arial" w:hAnsi="Arial" w:cs="Arial"/>
        </w:rPr>
        <w:t xml:space="preserve"> debido a los cambios de periodos de sequía y precipitación que se alternan durante la campaña agrícola, generando condiciones adversas al cultivo  y favorables para el hongo</w:t>
      </w:r>
      <w:r w:rsidRPr="00711CC4">
        <w:rPr>
          <w:rFonts w:ascii="Arial" w:hAnsi="Arial" w:cs="Arial"/>
          <w:b/>
        </w:rPr>
        <w:t xml:space="preserve">. </w:t>
      </w:r>
      <w:r w:rsidRPr="00711CC4">
        <w:rPr>
          <w:rFonts w:ascii="Arial" w:hAnsi="Arial" w:cs="Arial"/>
        </w:rPr>
        <w:t xml:space="preserve">Lo que determina la reducción del rendimiento, deficiencias en el llenado y calidad de grano, llegando a reducir el 30% del rendimiento y el 100% en condiciones lluviosas (Bonifacio </w:t>
      </w:r>
      <w:r w:rsidRPr="00711CC4">
        <w:rPr>
          <w:rFonts w:ascii="Arial" w:hAnsi="Arial" w:cs="Arial"/>
          <w:i/>
        </w:rPr>
        <w:t>et al.,</w:t>
      </w:r>
      <w:r w:rsidRPr="00711CC4">
        <w:rPr>
          <w:rFonts w:ascii="Arial" w:hAnsi="Arial" w:cs="Arial"/>
        </w:rPr>
        <w:t xml:space="preserve"> s.f.).</w:t>
      </w:r>
    </w:p>
    <w:p w:rsidR="00B67794" w:rsidRPr="00711CC4" w:rsidRDefault="00B67794" w:rsidP="00032094">
      <w:pPr>
        <w:spacing w:line="360" w:lineRule="auto"/>
        <w:jc w:val="both"/>
        <w:rPr>
          <w:rFonts w:ascii="Arial" w:hAnsi="Arial" w:cs="Arial"/>
        </w:rPr>
      </w:pPr>
      <w:r w:rsidRPr="00711CC4">
        <w:rPr>
          <w:rFonts w:ascii="Arial" w:hAnsi="Arial" w:cs="Arial"/>
        </w:rPr>
        <w:t>Ante los efectos del cambio climático, se debe buscar genotipos resistentes a la enfermedad, para superar la amenaza a la producción de alimentos. En este contexto, es importante el empleo de   inductores de  mutaciones para la  mejora de  plantas y entre las variantes generadas seleccionar plantas  con  genes favorables y sean adaptables a los cambios ambientales.</w:t>
      </w:r>
    </w:p>
    <w:p w:rsidR="00B67794" w:rsidRPr="00711CC4" w:rsidRDefault="00B67794" w:rsidP="00032094">
      <w:pPr>
        <w:spacing w:line="360" w:lineRule="auto"/>
        <w:jc w:val="both"/>
        <w:rPr>
          <w:rFonts w:ascii="Arial" w:hAnsi="Arial" w:cs="Arial"/>
        </w:rPr>
      </w:pPr>
      <w:r w:rsidRPr="00711CC4">
        <w:rPr>
          <w:rFonts w:ascii="Arial" w:hAnsi="Arial" w:cs="Arial"/>
        </w:rPr>
        <w:t xml:space="preserve">Mediante trabajos de mutación y subsecuentes generaciones  en la Agencia Boliviana de Energía Nuclear (ABEN) se ha obtenido progenies M3 de la variedad Real Negra que se encuentran en proceso de evaluación. </w:t>
      </w:r>
    </w:p>
    <w:p w:rsidR="00B67794" w:rsidRPr="00711CC4" w:rsidRDefault="00B67794" w:rsidP="00032094">
      <w:pPr>
        <w:spacing w:line="360" w:lineRule="auto"/>
        <w:jc w:val="both"/>
        <w:rPr>
          <w:rFonts w:ascii="Arial" w:hAnsi="Arial" w:cs="Arial"/>
          <w:b/>
        </w:rPr>
      </w:pPr>
    </w:p>
    <w:p w:rsidR="00032094" w:rsidRPr="00711CC4" w:rsidRDefault="00032094" w:rsidP="00032094">
      <w:pPr>
        <w:spacing w:line="360" w:lineRule="auto"/>
        <w:jc w:val="both"/>
        <w:rPr>
          <w:rFonts w:ascii="Arial" w:hAnsi="Arial" w:cs="Arial"/>
          <w:b/>
        </w:rPr>
      </w:pPr>
    </w:p>
    <w:p w:rsidR="00C526F2" w:rsidRPr="00711CC4" w:rsidRDefault="00C526F2" w:rsidP="00032094">
      <w:pPr>
        <w:spacing w:line="360" w:lineRule="auto"/>
        <w:jc w:val="both"/>
        <w:rPr>
          <w:rFonts w:ascii="Arial" w:hAnsi="Arial" w:cs="Arial"/>
          <w:b/>
        </w:rPr>
      </w:pPr>
    </w:p>
    <w:p w:rsidR="00032094" w:rsidRPr="00711CC4" w:rsidRDefault="00C526F2" w:rsidP="00C526F2">
      <w:pPr>
        <w:spacing w:line="360" w:lineRule="auto"/>
        <w:jc w:val="center"/>
        <w:rPr>
          <w:rFonts w:ascii="Arial" w:hAnsi="Arial" w:cs="Arial"/>
          <w:b/>
        </w:rPr>
      </w:pPr>
      <w:r w:rsidRPr="00711CC4">
        <w:rPr>
          <w:rFonts w:ascii="Arial" w:hAnsi="Arial" w:cs="Arial"/>
          <w:b/>
        </w:rPr>
        <w:t>CAPITULO V</w:t>
      </w:r>
    </w:p>
    <w:p w:rsidR="00B67794" w:rsidRPr="00711CC4" w:rsidRDefault="00B67794" w:rsidP="00C526F2">
      <w:pPr>
        <w:pStyle w:val="Ttulo1"/>
        <w:rPr>
          <w:rFonts w:cs="Arial"/>
          <w:sz w:val="22"/>
          <w:szCs w:val="22"/>
        </w:rPr>
      </w:pPr>
      <w:bookmarkStart w:id="2" w:name="_Toc47800857"/>
      <w:bookmarkStart w:id="3" w:name="_Toc65306529"/>
      <w:r w:rsidRPr="00711CC4">
        <w:rPr>
          <w:rFonts w:cs="Arial"/>
          <w:sz w:val="22"/>
          <w:szCs w:val="22"/>
        </w:rPr>
        <w:lastRenderedPageBreak/>
        <w:t>OBJETIVO</w:t>
      </w:r>
      <w:bookmarkStart w:id="4" w:name="_Toc15057999"/>
      <w:bookmarkStart w:id="5" w:name="_Toc47800858"/>
      <w:bookmarkEnd w:id="2"/>
      <w:r w:rsidRPr="00711CC4">
        <w:rPr>
          <w:rFonts w:cs="Arial"/>
          <w:sz w:val="22"/>
          <w:szCs w:val="22"/>
        </w:rPr>
        <w:t>S</w:t>
      </w:r>
      <w:bookmarkEnd w:id="3"/>
    </w:p>
    <w:p w:rsidR="00B67794" w:rsidRPr="00711CC4" w:rsidRDefault="00B67794" w:rsidP="00C526F2">
      <w:pPr>
        <w:pStyle w:val="Ttulo2"/>
        <w:rPr>
          <w:rFonts w:cs="Arial"/>
          <w:sz w:val="22"/>
          <w:szCs w:val="22"/>
        </w:rPr>
      </w:pPr>
      <w:bookmarkStart w:id="6" w:name="_Toc65306530"/>
      <w:r w:rsidRPr="00711CC4">
        <w:rPr>
          <w:rFonts w:cs="Arial"/>
          <w:sz w:val="22"/>
          <w:szCs w:val="22"/>
        </w:rPr>
        <w:t>Objetivo general</w:t>
      </w:r>
      <w:bookmarkEnd w:id="4"/>
      <w:bookmarkEnd w:id="5"/>
      <w:bookmarkEnd w:id="6"/>
    </w:p>
    <w:p w:rsidR="00B67794" w:rsidRPr="00711CC4" w:rsidRDefault="00B67794" w:rsidP="00032094">
      <w:pPr>
        <w:spacing w:line="360" w:lineRule="auto"/>
        <w:ind w:left="1440"/>
        <w:contextualSpacing/>
        <w:jc w:val="both"/>
        <w:rPr>
          <w:rFonts w:ascii="Arial" w:hAnsi="Arial" w:cs="Arial"/>
          <w:b/>
        </w:rPr>
      </w:pPr>
    </w:p>
    <w:p w:rsidR="00B67794" w:rsidRPr="00711CC4" w:rsidRDefault="00B67794" w:rsidP="00032094">
      <w:pPr>
        <w:numPr>
          <w:ilvl w:val="0"/>
          <w:numId w:val="14"/>
        </w:numPr>
        <w:spacing w:before="240" w:line="360" w:lineRule="auto"/>
        <w:contextualSpacing/>
        <w:jc w:val="both"/>
        <w:rPr>
          <w:rFonts w:ascii="Arial" w:hAnsi="Arial" w:cs="Arial"/>
          <w:lang w:val="es-BO"/>
        </w:rPr>
      </w:pPr>
      <w:r w:rsidRPr="00711CC4">
        <w:rPr>
          <w:rFonts w:ascii="Arial" w:hAnsi="Arial" w:cs="Arial"/>
          <w:lang w:val="es-BO"/>
        </w:rPr>
        <w:t xml:space="preserve">Evaluar la resistencia al mildiu de los genotipos de quinua </w:t>
      </w:r>
      <w:r w:rsidRPr="00711CC4">
        <w:rPr>
          <w:rFonts w:ascii="Arial" w:hAnsi="Arial" w:cs="Arial"/>
          <w:i/>
          <w:lang w:val="es-BO"/>
        </w:rPr>
        <w:t>(</w:t>
      </w:r>
      <w:proofErr w:type="spellStart"/>
      <w:r w:rsidRPr="00711CC4">
        <w:rPr>
          <w:rFonts w:ascii="Arial" w:hAnsi="Arial" w:cs="Arial"/>
          <w:i/>
          <w:lang w:val="es-BO"/>
        </w:rPr>
        <w:t>Chenopodium</w:t>
      </w:r>
      <w:proofErr w:type="spellEnd"/>
      <w:r w:rsidRPr="00711CC4">
        <w:rPr>
          <w:rFonts w:ascii="Arial" w:hAnsi="Arial" w:cs="Arial"/>
          <w:i/>
          <w:lang w:val="es-BO"/>
        </w:rPr>
        <w:t xml:space="preserve"> </w:t>
      </w:r>
      <w:proofErr w:type="spellStart"/>
      <w:r w:rsidRPr="00711CC4">
        <w:rPr>
          <w:rFonts w:ascii="Arial" w:hAnsi="Arial" w:cs="Arial"/>
          <w:i/>
          <w:lang w:val="es-BO"/>
        </w:rPr>
        <w:t>quinoa</w:t>
      </w:r>
      <w:proofErr w:type="spellEnd"/>
      <w:r w:rsidRPr="00711CC4">
        <w:rPr>
          <w:rFonts w:ascii="Arial" w:hAnsi="Arial" w:cs="Arial"/>
          <w:lang w:val="es-BO"/>
        </w:rPr>
        <w:t xml:space="preserve"> </w:t>
      </w:r>
      <w:proofErr w:type="spellStart"/>
      <w:r w:rsidRPr="00711CC4">
        <w:rPr>
          <w:rFonts w:ascii="Arial" w:hAnsi="Arial" w:cs="Arial"/>
          <w:lang w:val="es-BO"/>
        </w:rPr>
        <w:t>Willd</w:t>
      </w:r>
      <w:proofErr w:type="spellEnd"/>
      <w:r w:rsidRPr="00711CC4">
        <w:rPr>
          <w:rFonts w:ascii="Arial" w:hAnsi="Arial" w:cs="Arial"/>
          <w:lang w:val="es-BO"/>
        </w:rPr>
        <w:t>.) generación M3  provenientes de semillas irradiadas  con Co-60.</w:t>
      </w:r>
    </w:p>
    <w:p w:rsidR="00B67794" w:rsidRPr="00711CC4" w:rsidRDefault="00B67794" w:rsidP="00032094">
      <w:pPr>
        <w:spacing w:before="240" w:line="360" w:lineRule="auto"/>
        <w:ind w:left="1957"/>
        <w:contextualSpacing/>
        <w:jc w:val="both"/>
        <w:rPr>
          <w:rFonts w:ascii="Arial" w:hAnsi="Arial" w:cs="Arial"/>
          <w:lang w:val="es-BO"/>
        </w:rPr>
      </w:pPr>
    </w:p>
    <w:p w:rsidR="00B67794" w:rsidRPr="00711CC4" w:rsidRDefault="00B67794" w:rsidP="00C526F2">
      <w:pPr>
        <w:pStyle w:val="Ttulo2"/>
        <w:numPr>
          <w:ilvl w:val="1"/>
          <w:numId w:val="31"/>
        </w:numPr>
        <w:rPr>
          <w:rFonts w:cs="Arial"/>
          <w:sz w:val="22"/>
          <w:szCs w:val="22"/>
        </w:rPr>
      </w:pPr>
      <w:bookmarkStart w:id="7" w:name="_Toc47800859"/>
      <w:bookmarkStart w:id="8" w:name="_Toc65306531"/>
      <w:r w:rsidRPr="00711CC4">
        <w:rPr>
          <w:rFonts w:cs="Arial"/>
          <w:sz w:val="22"/>
          <w:szCs w:val="22"/>
        </w:rPr>
        <w:t>Objetivos específicos</w:t>
      </w:r>
      <w:bookmarkEnd w:id="7"/>
      <w:bookmarkEnd w:id="8"/>
      <w:r w:rsidRPr="00711CC4">
        <w:rPr>
          <w:rFonts w:cs="Arial"/>
          <w:sz w:val="22"/>
          <w:szCs w:val="22"/>
        </w:rPr>
        <w:t xml:space="preserve"> </w:t>
      </w:r>
    </w:p>
    <w:p w:rsidR="00B67794" w:rsidRPr="00711CC4" w:rsidRDefault="00B67794" w:rsidP="00032094">
      <w:pPr>
        <w:spacing w:line="360" w:lineRule="auto"/>
        <w:jc w:val="both"/>
        <w:rPr>
          <w:rFonts w:ascii="Arial" w:hAnsi="Arial" w:cs="Arial"/>
          <w:lang w:val="es-BO"/>
        </w:rPr>
      </w:pPr>
    </w:p>
    <w:p w:rsidR="00B67794" w:rsidRPr="00711CC4" w:rsidRDefault="00B67794" w:rsidP="00032094">
      <w:pPr>
        <w:numPr>
          <w:ilvl w:val="0"/>
          <w:numId w:val="14"/>
        </w:numPr>
        <w:spacing w:line="360" w:lineRule="auto"/>
        <w:contextualSpacing/>
        <w:jc w:val="both"/>
        <w:rPr>
          <w:rFonts w:ascii="Arial" w:hAnsi="Arial" w:cs="Arial"/>
          <w:lang w:val="es-BO"/>
        </w:rPr>
      </w:pPr>
      <w:r w:rsidRPr="00711CC4">
        <w:rPr>
          <w:rFonts w:ascii="Arial" w:hAnsi="Arial" w:cs="Arial"/>
          <w:lang w:val="es-BO"/>
        </w:rPr>
        <w:t>Evaluar la severidad del  mildiu de  los genotipos de quinua generación M3.</w:t>
      </w:r>
    </w:p>
    <w:p w:rsidR="00B67794" w:rsidRPr="00711CC4" w:rsidRDefault="00B67794" w:rsidP="00032094">
      <w:pPr>
        <w:spacing w:line="360" w:lineRule="auto"/>
        <w:ind w:left="1957"/>
        <w:contextualSpacing/>
        <w:jc w:val="both"/>
        <w:rPr>
          <w:rFonts w:ascii="Arial" w:hAnsi="Arial" w:cs="Arial"/>
          <w:lang w:val="es-BO"/>
        </w:rPr>
      </w:pPr>
    </w:p>
    <w:p w:rsidR="00B67794" w:rsidRPr="00711CC4" w:rsidRDefault="00B67794" w:rsidP="00032094">
      <w:pPr>
        <w:numPr>
          <w:ilvl w:val="0"/>
          <w:numId w:val="14"/>
        </w:numPr>
        <w:spacing w:line="360" w:lineRule="auto"/>
        <w:contextualSpacing/>
        <w:jc w:val="both"/>
        <w:rPr>
          <w:rFonts w:ascii="Arial" w:hAnsi="Arial" w:cs="Arial"/>
          <w:lang w:val="es-BO"/>
        </w:rPr>
      </w:pPr>
      <w:r w:rsidRPr="00711CC4">
        <w:rPr>
          <w:rFonts w:ascii="Arial" w:hAnsi="Arial" w:cs="Arial"/>
          <w:lang w:val="es-BO"/>
        </w:rPr>
        <w:t>Identificar y seleccionar genotipos resistentes a la enfermedad del mildiu.</w:t>
      </w:r>
    </w:p>
    <w:p w:rsidR="00B67794" w:rsidRPr="00711CC4" w:rsidRDefault="00B67794" w:rsidP="00032094">
      <w:pPr>
        <w:keepNext/>
        <w:keepLines/>
        <w:spacing w:before="200" w:after="0" w:line="360" w:lineRule="auto"/>
        <w:ind w:left="1144"/>
        <w:jc w:val="both"/>
        <w:outlineLvl w:val="1"/>
        <w:rPr>
          <w:rFonts w:ascii="Arial" w:eastAsiaTheme="majorEastAsia" w:hAnsi="Arial" w:cs="Arial"/>
          <w:b/>
          <w:bCs/>
          <w:lang w:val="es-BO"/>
        </w:rPr>
      </w:pPr>
    </w:p>
    <w:p w:rsidR="00032094" w:rsidRPr="00711CC4" w:rsidRDefault="00B67794" w:rsidP="00032094">
      <w:pPr>
        <w:numPr>
          <w:ilvl w:val="0"/>
          <w:numId w:val="14"/>
        </w:numPr>
        <w:spacing w:line="360" w:lineRule="auto"/>
        <w:contextualSpacing/>
        <w:jc w:val="both"/>
        <w:rPr>
          <w:rFonts w:ascii="Arial" w:hAnsi="Arial" w:cs="Arial"/>
          <w:lang w:val="es-BO"/>
        </w:rPr>
      </w:pPr>
      <w:r w:rsidRPr="00711CC4">
        <w:rPr>
          <w:rFonts w:ascii="Arial" w:hAnsi="Arial" w:cs="Arial"/>
          <w:lang w:val="es-BO"/>
        </w:rPr>
        <w:t>Determinar el efecto de la enfermedad del mildiu en el rendimiento de la quinua</w:t>
      </w:r>
      <w:bookmarkStart w:id="9" w:name="_Toc65306558"/>
      <w:r w:rsidR="00032094" w:rsidRPr="00711CC4">
        <w:rPr>
          <w:rFonts w:ascii="Arial" w:hAnsi="Arial" w:cs="Arial"/>
          <w:lang w:val="es-BO"/>
        </w:rPr>
        <w:t>.</w:t>
      </w:r>
    </w:p>
    <w:p w:rsidR="00706C89" w:rsidRPr="00711CC4" w:rsidRDefault="00706C89" w:rsidP="00706C89">
      <w:pPr>
        <w:spacing w:line="360" w:lineRule="auto"/>
        <w:contextualSpacing/>
        <w:jc w:val="center"/>
        <w:rPr>
          <w:rFonts w:ascii="Arial" w:eastAsiaTheme="majorEastAsia" w:hAnsi="Arial" w:cs="Arial"/>
          <w:b/>
          <w:bCs/>
          <w:color w:val="000000" w:themeColor="text1"/>
        </w:rPr>
      </w:pPr>
    </w:p>
    <w:p w:rsidR="00706C89" w:rsidRPr="00711CC4" w:rsidRDefault="00706C89" w:rsidP="00706C89">
      <w:pPr>
        <w:spacing w:line="360" w:lineRule="auto"/>
        <w:contextualSpacing/>
        <w:jc w:val="center"/>
        <w:rPr>
          <w:rFonts w:ascii="Arial" w:eastAsiaTheme="majorEastAsia" w:hAnsi="Arial" w:cs="Arial"/>
          <w:b/>
          <w:bCs/>
          <w:color w:val="000000" w:themeColor="text1"/>
        </w:rPr>
      </w:pPr>
      <w:r w:rsidRPr="00711CC4">
        <w:rPr>
          <w:rFonts w:ascii="Arial" w:eastAsiaTheme="majorEastAsia" w:hAnsi="Arial" w:cs="Arial"/>
          <w:b/>
          <w:bCs/>
          <w:color w:val="000000" w:themeColor="text1"/>
        </w:rPr>
        <w:t>CAPITULO VI</w:t>
      </w:r>
    </w:p>
    <w:p w:rsidR="00B67794" w:rsidRPr="00711CC4" w:rsidRDefault="00B67794" w:rsidP="0095154F">
      <w:pPr>
        <w:spacing w:line="360" w:lineRule="auto"/>
        <w:contextualSpacing/>
        <w:jc w:val="center"/>
        <w:rPr>
          <w:rFonts w:ascii="Arial" w:eastAsiaTheme="majorEastAsia" w:hAnsi="Arial" w:cs="Arial"/>
          <w:b/>
          <w:bCs/>
          <w:color w:val="000000" w:themeColor="text1"/>
        </w:rPr>
      </w:pPr>
      <w:r w:rsidRPr="00711CC4">
        <w:rPr>
          <w:rFonts w:ascii="Arial" w:eastAsiaTheme="majorEastAsia" w:hAnsi="Arial" w:cs="Arial"/>
          <w:b/>
          <w:bCs/>
          <w:color w:val="000000" w:themeColor="text1"/>
        </w:rPr>
        <w:t>MATERIALES Y MÉTODO</w:t>
      </w:r>
      <w:bookmarkEnd w:id="9"/>
      <w:r w:rsidR="0095154F" w:rsidRPr="00711CC4">
        <w:rPr>
          <w:rFonts w:ascii="Arial" w:eastAsiaTheme="majorEastAsia" w:hAnsi="Arial" w:cs="Arial"/>
          <w:b/>
          <w:bCs/>
          <w:color w:val="000000" w:themeColor="text1"/>
        </w:rPr>
        <w:t>S</w:t>
      </w:r>
    </w:p>
    <w:p w:rsidR="00B67794" w:rsidRPr="00711CC4" w:rsidRDefault="00B67794" w:rsidP="002C345A">
      <w:pPr>
        <w:pStyle w:val="Ttulo1"/>
        <w:rPr>
          <w:rFonts w:cs="Arial"/>
          <w:sz w:val="22"/>
          <w:szCs w:val="22"/>
        </w:rPr>
      </w:pPr>
      <w:bookmarkStart w:id="10" w:name="_Toc65306560"/>
      <w:r w:rsidRPr="00711CC4">
        <w:rPr>
          <w:rFonts w:cs="Arial"/>
          <w:sz w:val="22"/>
          <w:szCs w:val="22"/>
        </w:rPr>
        <w:t>Material Vegetal</w:t>
      </w:r>
      <w:bookmarkEnd w:id="10"/>
    </w:p>
    <w:p w:rsidR="00B67794" w:rsidRPr="00711CC4" w:rsidRDefault="00B67794" w:rsidP="00032094">
      <w:pPr>
        <w:spacing w:line="360" w:lineRule="auto"/>
        <w:jc w:val="both"/>
        <w:rPr>
          <w:rFonts w:ascii="Arial" w:hAnsi="Arial" w:cs="Arial"/>
        </w:rPr>
      </w:pPr>
    </w:p>
    <w:p w:rsidR="00B67794" w:rsidRPr="00711CC4" w:rsidRDefault="00B67794" w:rsidP="00032094">
      <w:pPr>
        <w:tabs>
          <w:tab w:val="left" w:pos="1655"/>
        </w:tabs>
        <w:spacing w:line="360" w:lineRule="auto"/>
        <w:jc w:val="both"/>
        <w:rPr>
          <w:rFonts w:ascii="Arial" w:hAnsi="Arial" w:cs="Arial"/>
        </w:rPr>
      </w:pPr>
      <w:r w:rsidRPr="00711CC4">
        <w:rPr>
          <w:rFonts w:ascii="Arial" w:hAnsi="Arial" w:cs="Arial"/>
        </w:rPr>
        <w:t>Para el presente trabajo de investigación, se utilizó  material genético  tres genotipos en generación M3 proveniente de semillas irradiadas con rayos gamma Co60  de quinua variedad Real Negra y un testigo que no fue sometido a irradiación.</w:t>
      </w:r>
    </w:p>
    <w:p w:rsidR="00B67794" w:rsidRPr="00711CC4" w:rsidRDefault="00B67794" w:rsidP="00706C89">
      <w:pPr>
        <w:pStyle w:val="Ttulo1"/>
        <w:rPr>
          <w:rFonts w:cs="Arial"/>
          <w:sz w:val="22"/>
          <w:szCs w:val="22"/>
        </w:rPr>
      </w:pPr>
      <w:bookmarkStart w:id="11" w:name="_Toc65306565"/>
      <w:r w:rsidRPr="00711CC4">
        <w:rPr>
          <w:rFonts w:cs="Arial"/>
          <w:sz w:val="22"/>
          <w:szCs w:val="22"/>
        </w:rPr>
        <w:t>Metodología</w:t>
      </w:r>
      <w:bookmarkEnd w:id="11"/>
    </w:p>
    <w:p w:rsidR="00B67794" w:rsidRPr="00711CC4" w:rsidRDefault="00B67794" w:rsidP="00032094">
      <w:pPr>
        <w:spacing w:line="360" w:lineRule="auto"/>
        <w:jc w:val="both"/>
        <w:rPr>
          <w:rFonts w:ascii="Arial" w:hAnsi="Arial" w:cs="Arial"/>
        </w:rPr>
      </w:pPr>
    </w:p>
    <w:p w:rsidR="00B67794" w:rsidRPr="00711CC4" w:rsidRDefault="00B67794" w:rsidP="00032094">
      <w:pPr>
        <w:tabs>
          <w:tab w:val="left" w:pos="1461"/>
        </w:tabs>
        <w:spacing w:line="360" w:lineRule="auto"/>
        <w:jc w:val="both"/>
        <w:rPr>
          <w:rFonts w:ascii="Arial" w:hAnsi="Arial" w:cs="Arial"/>
        </w:rPr>
      </w:pPr>
      <w:r w:rsidRPr="00711CC4">
        <w:rPr>
          <w:rFonts w:ascii="Arial" w:hAnsi="Arial" w:cs="Arial"/>
        </w:rPr>
        <w:t>El trabajo en campo y laboratorio tuvo diferentes labores, cuales se detallan a continuación:</w:t>
      </w:r>
    </w:p>
    <w:p w:rsidR="00B67794" w:rsidRPr="00711CC4" w:rsidRDefault="00B67794" w:rsidP="00706C89">
      <w:pPr>
        <w:pStyle w:val="Ttulo2"/>
        <w:rPr>
          <w:rFonts w:cs="Arial"/>
          <w:sz w:val="22"/>
          <w:szCs w:val="22"/>
        </w:rPr>
      </w:pPr>
      <w:bookmarkStart w:id="12" w:name="_Toc65306566"/>
      <w:r w:rsidRPr="00711CC4">
        <w:rPr>
          <w:rFonts w:cs="Arial"/>
          <w:sz w:val="22"/>
          <w:szCs w:val="22"/>
        </w:rPr>
        <w:t>Trabajo en laboratorio</w:t>
      </w:r>
      <w:bookmarkEnd w:id="12"/>
    </w:p>
    <w:p w:rsidR="00B67794" w:rsidRPr="00711CC4" w:rsidRDefault="00B67794" w:rsidP="00032094">
      <w:pPr>
        <w:tabs>
          <w:tab w:val="left" w:pos="1461"/>
        </w:tabs>
        <w:spacing w:line="360" w:lineRule="auto"/>
        <w:jc w:val="both"/>
        <w:rPr>
          <w:rFonts w:ascii="Arial" w:hAnsi="Arial" w:cs="Arial"/>
        </w:rPr>
      </w:pPr>
    </w:p>
    <w:p w:rsidR="00B67794" w:rsidRPr="00711CC4" w:rsidRDefault="00B67794" w:rsidP="00032094">
      <w:pPr>
        <w:tabs>
          <w:tab w:val="left" w:pos="1461"/>
        </w:tabs>
        <w:spacing w:line="360" w:lineRule="auto"/>
        <w:jc w:val="both"/>
        <w:rPr>
          <w:rFonts w:ascii="Arial" w:hAnsi="Arial" w:cs="Arial"/>
        </w:rPr>
      </w:pPr>
      <w:r w:rsidRPr="00711CC4">
        <w:rPr>
          <w:rFonts w:ascii="Arial" w:hAnsi="Arial" w:cs="Arial"/>
        </w:rPr>
        <w:t xml:space="preserve">Para  la prueba de germinación  de la generación M3 en quinua variedad ¨ Real Negra¨  se utilizaron 16 placas Petri  y láminas de papel secante los cuales se colocaron en la base interior de las placas Petri y se procedió el colocado de las 100 semillas   de cada tratamiento con cuatro repeticiones  T0= testigo, T1= Genotipo 7, T2= Genotipo 10 y T3= Genotipo 15 y seguidamente se humedeció  con una </w:t>
      </w:r>
      <w:proofErr w:type="spellStart"/>
      <w:r w:rsidRPr="00711CC4">
        <w:rPr>
          <w:rFonts w:ascii="Arial" w:hAnsi="Arial" w:cs="Arial"/>
        </w:rPr>
        <w:t>piseta</w:t>
      </w:r>
      <w:proofErr w:type="spellEnd"/>
      <w:r w:rsidRPr="00711CC4">
        <w:rPr>
          <w:rFonts w:ascii="Arial" w:hAnsi="Arial" w:cs="Arial"/>
        </w:rPr>
        <w:t xml:space="preserve">  el papel secante con agua destilada  y finalmente se llevó todas las placas Petri a la cámara de crecimiento a una temperatura de 25ºC.</w:t>
      </w:r>
    </w:p>
    <w:p w:rsidR="00B67794" w:rsidRPr="00711CC4" w:rsidRDefault="00B67794" w:rsidP="00032094">
      <w:pPr>
        <w:tabs>
          <w:tab w:val="left" w:pos="1461"/>
        </w:tabs>
        <w:spacing w:line="360" w:lineRule="auto"/>
        <w:jc w:val="both"/>
        <w:rPr>
          <w:rFonts w:ascii="Arial" w:hAnsi="Arial" w:cs="Arial"/>
        </w:rPr>
      </w:pPr>
      <w:r w:rsidRPr="00711CC4">
        <w:rPr>
          <w:rFonts w:ascii="Arial" w:hAnsi="Arial" w:cs="Arial"/>
        </w:rPr>
        <w:t>Al día siguiente  se evaluó el porcentaje de germinación de cada tratamiento en horas de la mañana, los cuales presentaron la radícula desarrollada de manera que se realizó el conteo de las semillas germinadas de cada tratamiento.</w:t>
      </w:r>
    </w:p>
    <w:p w:rsidR="00B67794" w:rsidRPr="00711CC4" w:rsidRDefault="00B67794" w:rsidP="00706C89">
      <w:pPr>
        <w:pStyle w:val="Ttulo2"/>
        <w:rPr>
          <w:rFonts w:cs="Arial"/>
          <w:sz w:val="22"/>
          <w:szCs w:val="22"/>
        </w:rPr>
      </w:pPr>
      <w:bookmarkStart w:id="13" w:name="_Toc65306567"/>
      <w:r w:rsidRPr="00711CC4">
        <w:rPr>
          <w:rFonts w:cs="Arial"/>
          <w:sz w:val="22"/>
          <w:szCs w:val="22"/>
        </w:rPr>
        <w:t>Trabajo en campo</w:t>
      </w:r>
      <w:bookmarkEnd w:id="13"/>
      <w:r w:rsidRPr="00711CC4">
        <w:rPr>
          <w:rFonts w:cs="Arial"/>
          <w:sz w:val="22"/>
          <w:szCs w:val="22"/>
        </w:rPr>
        <w:t xml:space="preserve"> </w:t>
      </w:r>
    </w:p>
    <w:p w:rsidR="00B67794" w:rsidRPr="00711CC4" w:rsidRDefault="00B67794" w:rsidP="00706C89">
      <w:pPr>
        <w:pStyle w:val="Ttulo3"/>
        <w:rPr>
          <w:rFonts w:cs="Arial"/>
          <w:sz w:val="22"/>
        </w:rPr>
      </w:pPr>
      <w:r w:rsidRPr="00711CC4">
        <w:rPr>
          <w:rFonts w:cs="Arial"/>
          <w:sz w:val="22"/>
        </w:rPr>
        <w:t xml:space="preserve">Preparación del terreno </w:t>
      </w:r>
    </w:p>
    <w:p w:rsidR="002C345A" w:rsidRPr="00711CC4" w:rsidRDefault="002C345A" w:rsidP="002C345A">
      <w:pPr>
        <w:rPr>
          <w:rFonts w:ascii="Arial" w:hAnsi="Arial" w:cs="Arial"/>
        </w:rPr>
      </w:pPr>
    </w:p>
    <w:p w:rsidR="00B67794" w:rsidRPr="00711CC4" w:rsidRDefault="00B67794" w:rsidP="00032094">
      <w:pPr>
        <w:tabs>
          <w:tab w:val="left" w:pos="1461"/>
        </w:tabs>
        <w:spacing w:line="360" w:lineRule="auto"/>
        <w:jc w:val="both"/>
        <w:rPr>
          <w:rFonts w:ascii="Arial" w:hAnsi="Arial" w:cs="Arial"/>
        </w:rPr>
      </w:pPr>
      <w:r w:rsidRPr="00711CC4">
        <w:rPr>
          <w:rFonts w:ascii="Arial" w:hAnsi="Arial" w:cs="Arial"/>
        </w:rPr>
        <w:t>El trabajo en campo se inició con la delimitación  del área de investigación con un total de 155.25 m2, posterior a ello se realizó la remoción del suelo  empleando de un tractor  siendo la profundidad del roturado de 30 cm, seguidamente se procedió al nivelado del terreno.</w:t>
      </w:r>
    </w:p>
    <w:p w:rsidR="00B67794" w:rsidRPr="00711CC4" w:rsidRDefault="00B67794" w:rsidP="00706C89">
      <w:pPr>
        <w:pStyle w:val="Ttulo3"/>
        <w:rPr>
          <w:rFonts w:cs="Arial"/>
          <w:sz w:val="22"/>
        </w:rPr>
      </w:pPr>
      <w:r w:rsidRPr="00711CC4">
        <w:rPr>
          <w:rFonts w:cs="Arial"/>
          <w:sz w:val="22"/>
        </w:rPr>
        <w:t xml:space="preserve"> Siembra</w:t>
      </w:r>
    </w:p>
    <w:p w:rsidR="002C345A" w:rsidRPr="00711CC4" w:rsidRDefault="002C345A" w:rsidP="002C345A">
      <w:pPr>
        <w:rPr>
          <w:rFonts w:ascii="Arial" w:hAnsi="Arial" w:cs="Arial"/>
        </w:rPr>
      </w:pPr>
    </w:p>
    <w:p w:rsidR="00B67794" w:rsidRPr="00711CC4" w:rsidRDefault="00B67794" w:rsidP="00032094">
      <w:pPr>
        <w:tabs>
          <w:tab w:val="left" w:pos="1461"/>
        </w:tabs>
        <w:spacing w:line="360" w:lineRule="auto"/>
        <w:jc w:val="both"/>
        <w:rPr>
          <w:rFonts w:ascii="Arial" w:hAnsi="Arial" w:cs="Arial"/>
        </w:rPr>
      </w:pPr>
      <w:r w:rsidRPr="00711CC4">
        <w:rPr>
          <w:rFonts w:ascii="Arial" w:hAnsi="Arial" w:cs="Arial"/>
        </w:rPr>
        <w:t>La siembra se realizó con la apertura de los surcos, con una distancia entre surcos de 0,40 m y profundidad de 10 cm, bajo un sistema de siembra manual    colocando  7 a 10 semillas por cada golpe a una densida</w:t>
      </w:r>
      <w:r w:rsidR="00706C89" w:rsidRPr="00711CC4">
        <w:rPr>
          <w:rFonts w:ascii="Arial" w:hAnsi="Arial" w:cs="Arial"/>
        </w:rPr>
        <w:t>d de  10 a 15 cm entre plantas.</w:t>
      </w:r>
    </w:p>
    <w:p w:rsidR="00B67794" w:rsidRPr="00711CC4" w:rsidRDefault="00B67794" w:rsidP="00706C89">
      <w:pPr>
        <w:pStyle w:val="Ttulo3"/>
        <w:rPr>
          <w:rFonts w:cs="Arial"/>
          <w:sz w:val="22"/>
        </w:rPr>
      </w:pPr>
      <w:r w:rsidRPr="00711CC4">
        <w:rPr>
          <w:rFonts w:cs="Arial"/>
          <w:sz w:val="22"/>
        </w:rPr>
        <w:lastRenderedPageBreak/>
        <w:t>Riego</w:t>
      </w:r>
    </w:p>
    <w:p w:rsidR="002C345A" w:rsidRPr="00711CC4" w:rsidRDefault="002C345A" w:rsidP="002C345A">
      <w:pPr>
        <w:rPr>
          <w:rFonts w:ascii="Arial" w:hAnsi="Arial" w:cs="Arial"/>
        </w:rPr>
      </w:pPr>
    </w:p>
    <w:p w:rsidR="00706C89" w:rsidRPr="00711CC4" w:rsidRDefault="00B67794" w:rsidP="00706C89">
      <w:pPr>
        <w:spacing w:line="360" w:lineRule="auto"/>
        <w:jc w:val="both"/>
        <w:rPr>
          <w:rFonts w:ascii="Arial" w:hAnsi="Arial" w:cs="Arial"/>
          <w:color w:val="000000" w:themeColor="text1"/>
        </w:rPr>
      </w:pPr>
      <w:r w:rsidRPr="00711CC4">
        <w:rPr>
          <w:rFonts w:ascii="Arial" w:hAnsi="Arial" w:cs="Arial"/>
        </w:rPr>
        <w:t xml:space="preserve">El riego se realizó antes y después de la siembra, con el fin de tener un suelo húmedo apto para el cultivo de quinua para mayor efectividad en la emergencia de la semilla, posterior a la siembra se llevó un riego de  dos veces por </w:t>
      </w:r>
      <w:r w:rsidRPr="00711CC4">
        <w:rPr>
          <w:rFonts w:ascii="Arial" w:hAnsi="Arial" w:cs="Arial"/>
          <w:color w:val="000000" w:themeColor="text1"/>
        </w:rPr>
        <w:t xml:space="preserve">semana hasta que la planta presente sus hojas </w:t>
      </w:r>
      <w:proofErr w:type="spellStart"/>
      <w:r w:rsidRPr="00711CC4">
        <w:rPr>
          <w:rFonts w:ascii="Arial" w:hAnsi="Arial" w:cs="Arial"/>
          <w:color w:val="000000" w:themeColor="text1"/>
        </w:rPr>
        <w:t>cotiledonales</w:t>
      </w:r>
      <w:proofErr w:type="spellEnd"/>
      <w:r w:rsidRPr="00711CC4">
        <w:rPr>
          <w:rFonts w:ascii="Arial" w:hAnsi="Arial" w:cs="Arial"/>
          <w:color w:val="000000" w:themeColor="text1"/>
        </w:rPr>
        <w:t xml:space="preserve"> mediante el uso de regaderas y el uso de un pequeño aspersor.</w:t>
      </w:r>
    </w:p>
    <w:p w:rsidR="00705AB8" w:rsidRPr="00711CC4" w:rsidRDefault="00705AB8" w:rsidP="00706C89">
      <w:pPr>
        <w:spacing w:line="360" w:lineRule="auto"/>
        <w:jc w:val="both"/>
        <w:rPr>
          <w:rFonts w:ascii="Arial" w:hAnsi="Arial" w:cs="Arial"/>
          <w:color w:val="000000" w:themeColor="text1"/>
        </w:rPr>
      </w:pPr>
    </w:p>
    <w:p w:rsidR="00B67794" w:rsidRPr="00711CC4" w:rsidRDefault="00B67794" w:rsidP="00706C89">
      <w:pPr>
        <w:pStyle w:val="Ttulo3"/>
        <w:rPr>
          <w:rFonts w:cs="Arial"/>
          <w:sz w:val="22"/>
        </w:rPr>
      </w:pPr>
      <w:r w:rsidRPr="00711CC4">
        <w:rPr>
          <w:rFonts w:cs="Arial"/>
          <w:sz w:val="22"/>
        </w:rPr>
        <w:t xml:space="preserve">Toma de datos </w:t>
      </w:r>
    </w:p>
    <w:p w:rsidR="002C345A" w:rsidRPr="00711CC4" w:rsidRDefault="002C345A" w:rsidP="002C345A">
      <w:pPr>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 xml:space="preserve">La toma de datos se realizó desde que la enfermedad presentó sus primeros síntomas  con una frecuencia de 7 días. Se evaluó en las  plantas elegidas aleatoriamente   de cada unidad experimental. También se registró  cada tres días la humedad del suelo con la ayuda del </w:t>
      </w:r>
      <w:proofErr w:type="spellStart"/>
      <w:r w:rsidRPr="00711CC4">
        <w:rPr>
          <w:rFonts w:ascii="Arial" w:hAnsi="Arial" w:cs="Arial"/>
        </w:rPr>
        <w:t>Diviner</w:t>
      </w:r>
      <w:proofErr w:type="spellEnd"/>
      <w:r w:rsidRPr="00711CC4">
        <w:rPr>
          <w:rFonts w:ascii="Arial" w:hAnsi="Arial" w:cs="Arial"/>
        </w:rPr>
        <w:t xml:space="preserve"> 2000 y  el sensor de humedad TDR y de otras variables cualitativas de la planta.</w:t>
      </w:r>
    </w:p>
    <w:p w:rsidR="00B67794" w:rsidRPr="00711CC4" w:rsidRDefault="00B67794" w:rsidP="00706C89">
      <w:pPr>
        <w:pStyle w:val="Ttulo3"/>
        <w:rPr>
          <w:rFonts w:cs="Arial"/>
          <w:sz w:val="22"/>
        </w:rPr>
      </w:pPr>
      <w:r w:rsidRPr="00711CC4">
        <w:rPr>
          <w:rFonts w:cs="Arial"/>
          <w:sz w:val="22"/>
        </w:rPr>
        <w:t>Cosecha</w:t>
      </w:r>
    </w:p>
    <w:p w:rsidR="002C345A" w:rsidRPr="00711CC4" w:rsidRDefault="002C345A" w:rsidP="002C345A">
      <w:pPr>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 xml:space="preserve">La cosecha se llevó a cabo cuando las plantas completaron su madurez  fisiológica, evidenciada cuando el grano presento una consistencia dura, mayor defoliación  y </w:t>
      </w:r>
      <w:proofErr w:type="spellStart"/>
      <w:r w:rsidRPr="00711CC4">
        <w:rPr>
          <w:rFonts w:ascii="Arial" w:hAnsi="Arial" w:cs="Arial"/>
        </w:rPr>
        <w:t>amarillamiento</w:t>
      </w:r>
      <w:proofErr w:type="spellEnd"/>
      <w:r w:rsidRPr="00711CC4">
        <w:rPr>
          <w:rFonts w:ascii="Arial" w:hAnsi="Arial" w:cs="Arial"/>
        </w:rPr>
        <w:t xml:space="preserve"> de</w:t>
      </w:r>
      <w:r w:rsidR="00706C89" w:rsidRPr="00711CC4">
        <w:rPr>
          <w:rFonts w:ascii="Arial" w:hAnsi="Arial" w:cs="Arial"/>
        </w:rPr>
        <w:t xml:space="preserve"> las hojas. </w:t>
      </w:r>
      <w:r w:rsidRPr="00711CC4">
        <w:rPr>
          <w:rFonts w:ascii="Arial" w:hAnsi="Arial" w:cs="Arial"/>
        </w:rPr>
        <w:t>Seguidamente se realizó el secado y trillado individual de cada muestra tolerante a la enfermedad, y por ultimó el venteado para remover las impurezas y obtener grano limpio.</w:t>
      </w:r>
    </w:p>
    <w:p w:rsidR="00B67794" w:rsidRPr="00711CC4" w:rsidRDefault="00B67794" w:rsidP="00706C89">
      <w:pPr>
        <w:pStyle w:val="Ttulo3"/>
        <w:rPr>
          <w:rFonts w:cs="Arial"/>
          <w:sz w:val="22"/>
        </w:rPr>
      </w:pPr>
      <w:r w:rsidRPr="00711CC4">
        <w:rPr>
          <w:rFonts w:cs="Arial"/>
          <w:sz w:val="22"/>
        </w:rPr>
        <w:lastRenderedPageBreak/>
        <w:t xml:space="preserve"> </w:t>
      </w:r>
      <w:bookmarkStart w:id="14" w:name="_Toc65306568"/>
      <w:r w:rsidRPr="00711CC4">
        <w:rPr>
          <w:rFonts w:cs="Arial"/>
          <w:sz w:val="22"/>
        </w:rPr>
        <w:t>Diseño experimental</w:t>
      </w:r>
      <w:bookmarkEnd w:id="14"/>
    </w:p>
    <w:p w:rsidR="00B67794" w:rsidRPr="00711CC4" w:rsidRDefault="00B67794" w:rsidP="00032094">
      <w:pPr>
        <w:keepNext/>
        <w:keepLines/>
        <w:numPr>
          <w:ilvl w:val="3"/>
          <w:numId w:val="25"/>
        </w:numPr>
        <w:spacing w:before="200" w:after="0" w:line="360" w:lineRule="auto"/>
        <w:jc w:val="both"/>
        <w:outlineLvl w:val="3"/>
        <w:rPr>
          <w:rFonts w:ascii="Arial" w:eastAsiaTheme="majorEastAsia" w:hAnsi="Arial" w:cs="Arial"/>
          <w:b/>
          <w:bCs/>
          <w:iCs/>
          <w:color w:val="000000" w:themeColor="text1"/>
        </w:rPr>
      </w:pPr>
      <w:r w:rsidRPr="00711CC4">
        <w:rPr>
          <w:rFonts w:ascii="Arial" w:eastAsiaTheme="majorEastAsia" w:hAnsi="Arial" w:cs="Arial"/>
          <w:b/>
          <w:bCs/>
          <w:iCs/>
          <w:color w:val="000000" w:themeColor="text1"/>
        </w:rPr>
        <w:t xml:space="preserve">Etapa en laboratorio – germinación </w:t>
      </w:r>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En el presente trabajo de investigación para la prueba de germinación en laboratorio, se realizó bajo un diseño completamente al azar con cuatro repeticiones y cuatro tratamientos (Ochoa, 2009).</w:t>
      </w:r>
    </w:p>
    <w:p w:rsidR="00B67794" w:rsidRPr="00711CC4" w:rsidRDefault="00B67794" w:rsidP="00032094">
      <w:pPr>
        <w:keepNext/>
        <w:keepLines/>
        <w:numPr>
          <w:ilvl w:val="3"/>
          <w:numId w:val="25"/>
        </w:numPr>
        <w:spacing w:before="200" w:after="0" w:line="360" w:lineRule="auto"/>
        <w:jc w:val="both"/>
        <w:outlineLvl w:val="3"/>
        <w:rPr>
          <w:rFonts w:ascii="Arial" w:eastAsiaTheme="majorEastAsia" w:hAnsi="Arial" w:cs="Arial"/>
          <w:b/>
          <w:bCs/>
          <w:iCs/>
          <w:color w:val="000000" w:themeColor="text1"/>
        </w:rPr>
      </w:pPr>
      <w:r w:rsidRPr="00711CC4">
        <w:rPr>
          <w:rFonts w:ascii="Arial" w:eastAsiaTheme="majorEastAsia" w:hAnsi="Arial" w:cs="Arial"/>
          <w:b/>
          <w:bCs/>
          <w:iCs/>
          <w:color w:val="000000" w:themeColor="text1"/>
        </w:rPr>
        <w:t>Etapa en campo</w:t>
      </w:r>
    </w:p>
    <w:p w:rsidR="00B67794" w:rsidRPr="00711CC4" w:rsidRDefault="00B67794" w:rsidP="00032094">
      <w:pPr>
        <w:spacing w:line="360" w:lineRule="auto"/>
        <w:jc w:val="both"/>
        <w:rPr>
          <w:rFonts w:ascii="Arial" w:hAnsi="Arial" w:cs="Arial"/>
        </w:rPr>
      </w:pPr>
    </w:p>
    <w:p w:rsidR="0095154F" w:rsidRPr="00711CC4" w:rsidRDefault="00B67794" w:rsidP="0095154F">
      <w:pPr>
        <w:spacing w:line="360" w:lineRule="auto"/>
        <w:jc w:val="both"/>
        <w:rPr>
          <w:rFonts w:ascii="Arial" w:hAnsi="Arial" w:cs="Arial"/>
          <w:bCs/>
          <w:iCs/>
        </w:rPr>
      </w:pPr>
      <w:r w:rsidRPr="00711CC4">
        <w:rPr>
          <w:rFonts w:ascii="Arial" w:hAnsi="Arial" w:cs="Arial"/>
          <w:lang w:val="es-BO"/>
        </w:rPr>
        <w:t xml:space="preserve">En el presente trabajo de investigación  tiene un enfoque experimental cuantitativo (Hernández </w:t>
      </w:r>
      <w:proofErr w:type="spellStart"/>
      <w:r w:rsidRPr="00711CC4">
        <w:rPr>
          <w:rFonts w:ascii="Arial" w:hAnsi="Arial" w:cs="Arial"/>
          <w:lang w:val="es-BO"/>
        </w:rPr>
        <w:t>Sampieri</w:t>
      </w:r>
      <w:proofErr w:type="spellEnd"/>
      <w:r w:rsidRPr="00711CC4">
        <w:rPr>
          <w:rFonts w:ascii="Arial" w:hAnsi="Arial" w:cs="Arial"/>
          <w:lang w:val="es-BO"/>
        </w:rPr>
        <w:t xml:space="preserve"> </w:t>
      </w:r>
      <w:r w:rsidRPr="00711CC4">
        <w:rPr>
          <w:rFonts w:ascii="Arial" w:hAnsi="Arial" w:cs="Arial"/>
          <w:i/>
          <w:lang w:val="es-BO"/>
        </w:rPr>
        <w:t>et al</w:t>
      </w:r>
      <w:r w:rsidRPr="00711CC4">
        <w:rPr>
          <w:rFonts w:ascii="Arial" w:hAnsi="Arial" w:cs="Arial"/>
          <w:lang w:val="es-BO"/>
        </w:rPr>
        <w:t>., 2014).</w:t>
      </w:r>
      <w:r w:rsidRPr="00711CC4">
        <w:rPr>
          <w:rFonts w:ascii="Arial" w:hAnsi="Arial" w:cs="Arial"/>
          <w:bCs/>
          <w:i/>
          <w:iCs/>
        </w:rPr>
        <w:t xml:space="preserve"> </w:t>
      </w:r>
      <w:r w:rsidRPr="00711CC4">
        <w:rPr>
          <w:rFonts w:ascii="Arial" w:hAnsi="Arial" w:cs="Arial"/>
          <w:bCs/>
          <w:iCs/>
        </w:rPr>
        <w:t>La etapa en campo fue establecido  bajo</w:t>
      </w:r>
      <w:r w:rsidRPr="00711CC4">
        <w:rPr>
          <w:rFonts w:ascii="Arial" w:hAnsi="Arial" w:cs="Arial"/>
          <w:bCs/>
          <w:i/>
          <w:iCs/>
        </w:rPr>
        <w:t xml:space="preserve"> </w:t>
      </w:r>
      <w:r w:rsidRPr="00711CC4">
        <w:rPr>
          <w:rFonts w:ascii="Arial" w:hAnsi="Arial" w:cs="Arial"/>
          <w:lang w:val="es-BO"/>
        </w:rPr>
        <w:t xml:space="preserve"> un diseño  de bloques completos al azar (DBA),  de acuerdo al modelo lineal aditivo del diseño descrito por (Ochoa, 2009).</w:t>
      </w:r>
    </w:p>
    <w:p w:rsidR="00B67794" w:rsidRPr="00711CC4" w:rsidRDefault="00B67794" w:rsidP="0095154F">
      <w:pPr>
        <w:spacing w:line="360" w:lineRule="auto"/>
        <w:jc w:val="both"/>
        <w:rPr>
          <w:rFonts w:ascii="Arial" w:hAnsi="Arial" w:cs="Arial"/>
          <w:bCs/>
          <w:iCs/>
        </w:rPr>
      </w:pPr>
      <w:r w:rsidRPr="00711CC4">
        <w:rPr>
          <w:rFonts w:ascii="Arial" w:eastAsiaTheme="majorEastAsia" w:hAnsi="Arial" w:cs="Arial"/>
          <w:b/>
          <w:bCs/>
          <w:iCs/>
          <w:color w:val="000000" w:themeColor="text1"/>
        </w:rPr>
        <w:t xml:space="preserve">Tratamientos de estudio </w:t>
      </w:r>
    </w:p>
    <w:p w:rsidR="00B67794" w:rsidRPr="00711CC4" w:rsidRDefault="00B67794" w:rsidP="00032094">
      <w:pPr>
        <w:spacing w:line="360" w:lineRule="auto"/>
        <w:jc w:val="both"/>
        <w:rPr>
          <w:rFonts w:ascii="Arial" w:hAnsi="Arial" w:cs="Arial"/>
          <w:lang w:val="es-BO"/>
        </w:rPr>
      </w:pPr>
      <w:r w:rsidRPr="00711CC4">
        <w:rPr>
          <w:rFonts w:ascii="Arial" w:hAnsi="Arial" w:cs="Arial"/>
          <w:lang w:val="es-BO"/>
        </w:rPr>
        <w:t>En</w:t>
      </w:r>
      <w:r w:rsidR="00242F8D">
        <w:rPr>
          <w:rFonts w:ascii="Arial" w:hAnsi="Arial" w:cs="Arial"/>
          <w:lang w:val="es-BO"/>
        </w:rPr>
        <w:t xml:space="preserve"> el cuadro 1</w:t>
      </w:r>
      <w:r w:rsidRPr="00711CC4">
        <w:rPr>
          <w:rFonts w:ascii="Arial" w:hAnsi="Arial" w:cs="Arial"/>
          <w:lang w:val="es-BO"/>
        </w:rPr>
        <w:t xml:space="preserve"> se detallan las distribuciones de los tratamientos en la investigación:</w:t>
      </w:r>
    </w:p>
    <w:p w:rsidR="00B67794" w:rsidRPr="00711CC4" w:rsidRDefault="00B67794" w:rsidP="00032094">
      <w:pPr>
        <w:keepNext/>
        <w:spacing w:line="360" w:lineRule="auto"/>
        <w:jc w:val="both"/>
        <w:rPr>
          <w:rFonts w:ascii="Arial" w:hAnsi="Arial" w:cs="Arial"/>
          <w:b/>
          <w:bCs/>
          <w:color w:val="000000" w:themeColor="text1"/>
        </w:rPr>
      </w:pPr>
      <w:bookmarkStart w:id="15" w:name="_Toc57032771"/>
      <w:bookmarkStart w:id="16" w:name="_Toc57857650"/>
      <w:r w:rsidRPr="00711CC4">
        <w:rPr>
          <w:rFonts w:ascii="Arial" w:hAnsi="Arial" w:cs="Arial"/>
          <w:b/>
          <w:bCs/>
          <w:color w:val="000000" w:themeColor="text1"/>
        </w:rPr>
        <w:t xml:space="preserve">Cuadro  </w:t>
      </w:r>
      <w:r w:rsidR="00242F8D">
        <w:rPr>
          <w:rFonts w:ascii="Arial" w:hAnsi="Arial" w:cs="Arial"/>
          <w:b/>
          <w:bCs/>
          <w:color w:val="000000" w:themeColor="text1"/>
        </w:rPr>
        <w:t>1</w:t>
      </w:r>
      <w:r w:rsidRPr="00711CC4">
        <w:rPr>
          <w:rFonts w:ascii="Arial" w:hAnsi="Arial" w:cs="Arial"/>
          <w:b/>
          <w:bCs/>
          <w:color w:val="000000" w:themeColor="text1"/>
        </w:rPr>
        <w:t>. Distribución de los tratamientos</w:t>
      </w:r>
      <w:bookmarkEnd w:id="15"/>
      <w:bookmarkEnd w:id="16"/>
    </w:p>
    <w:tbl>
      <w:tblPr>
        <w:tblStyle w:val="Sombreadomedio1-nfasis3"/>
        <w:tblW w:w="7529" w:type="dxa"/>
        <w:jc w:val="center"/>
        <w:tblInd w:w="1570" w:type="dxa"/>
        <w:tblLook w:val="04A0" w:firstRow="1" w:lastRow="0" w:firstColumn="1" w:lastColumn="0" w:noHBand="0" w:noVBand="1"/>
      </w:tblPr>
      <w:tblGrid>
        <w:gridCol w:w="1957"/>
        <w:gridCol w:w="5572"/>
      </w:tblGrid>
      <w:tr w:rsidR="00B67794" w:rsidRPr="00711CC4" w:rsidTr="00B67794">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7529" w:type="dxa"/>
            <w:gridSpan w:val="2"/>
          </w:tcPr>
          <w:p w:rsidR="00B67794" w:rsidRPr="00711CC4" w:rsidRDefault="00B67794" w:rsidP="00032094">
            <w:pPr>
              <w:keepNext/>
              <w:spacing w:line="360" w:lineRule="auto"/>
              <w:jc w:val="both"/>
              <w:rPr>
                <w:rFonts w:ascii="Arial" w:hAnsi="Arial" w:cs="Arial"/>
                <w:bCs w:val="0"/>
                <w:color w:val="000000" w:themeColor="text1"/>
              </w:rPr>
            </w:pPr>
            <w:r w:rsidRPr="00711CC4">
              <w:rPr>
                <w:rFonts w:ascii="Arial" w:hAnsi="Arial" w:cs="Arial"/>
                <w:bCs w:val="0"/>
                <w:color w:val="000000" w:themeColor="text1"/>
              </w:rPr>
              <w:t>Distribución de los tratamientos</w:t>
            </w:r>
          </w:p>
        </w:tc>
      </w:tr>
      <w:tr w:rsidR="00B67794" w:rsidRPr="00711CC4" w:rsidTr="00B67794">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1957" w:type="dxa"/>
          </w:tcPr>
          <w:p w:rsidR="00B67794" w:rsidRPr="00711CC4" w:rsidRDefault="00B67794" w:rsidP="00032094">
            <w:pPr>
              <w:keepNext/>
              <w:spacing w:line="360" w:lineRule="auto"/>
              <w:jc w:val="both"/>
              <w:rPr>
                <w:rFonts w:ascii="Arial" w:hAnsi="Arial" w:cs="Arial"/>
                <w:bCs w:val="0"/>
                <w:color w:val="000000" w:themeColor="text1"/>
              </w:rPr>
            </w:pPr>
            <w:r w:rsidRPr="00711CC4">
              <w:rPr>
                <w:rFonts w:ascii="Arial" w:hAnsi="Arial" w:cs="Arial"/>
                <w:bCs w:val="0"/>
                <w:color w:val="000000" w:themeColor="text1"/>
              </w:rPr>
              <w:t>To</w:t>
            </w:r>
          </w:p>
        </w:tc>
        <w:tc>
          <w:tcPr>
            <w:tcW w:w="5572" w:type="dxa"/>
          </w:tcPr>
          <w:p w:rsidR="00B67794" w:rsidRPr="00711CC4" w:rsidRDefault="00B67794" w:rsidP="00032094">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711CC4">
              <w:rPr>
                <w:rFonts w:ascii="Arial" w:hAnsi="Arial" w:cs="Arial"/>
                <w:bCs/>
                <w:color w:val="000000" w:themeColor="text1"/>
              </w:rPr>
              <w:t>Testigo (semilla sin procedencia de irradiación).</w:t>
            </w:r>
          </w:p>
        </w:tc>
      </w:tr>
      <w:tr w:rsidR="00B67794" w:rsidRPr="00711CC4" w:rsidTr="00B67794">
        <w:trPr>
          <w:cnfStyle w:val="000000010000" w:firstRow="0" w:lastRow="0" w:firstColumn="0" w:lastColumn="0" w:oddVBand="0" w:evenVBand="0" w:oddHBand="0" w:evenHBand="1"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957" w:type="dxa"/>
          </w:tcPr>
          <w:p w:rsidR="00B67794" w:rsidRPr="00711CC4" w:rsidRDefault="00B67794" w:rsidP="00032094">
            <w:pPr>
              <w:keepNext/>
              <w:spacing w:line="360" w:lineRule="auto"/>
              <w:jc w:val="both"/>
              <w:rPr>
                <w:rFonts w:ascii="Arial" w:hAnsi="Arial" w:cs="Arial"/>
                <w:bCs w:val="0"/>
                <w:color w:val="000000" w:themeColor="text1"/>
              </w:rPr>
            </w:pPr>
            <w:r w:rsidRPr="00711CC4">
              <w:rPr>
                <w:rFonts w:ascii="Arial" w:hAnsi="Arial" w:cs="Arial"/>
                <w:bCs w:val="0"/>
                <w:color w:val="000000" w:themeColor="text1"/>
              </w:rPr>
              <w:t>T1</w:t>
            </w:r>
          </w:p>
        </w:tc>
        <w:tc>
          <w:tcPr>
            <w:tcW w:w="5572" w:type="dxa"/>
          </w:tcPr>
          <w:p w:rsidR="00B67794" w:rsidRPr="00711CC4" w:rsidRDefault="00B67794" w:rsidP="00032094">
            <w:pPr>
              <w:keepNext/>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rPr>
            </w:pPr>
            <w:r w:rsidRPr="00711CC4">
              <w:rPr>
                <w:rFonts w:ascii="Arial" w:hAnsi="Arial" w:cs="Arial"/>
                <w:bCs/>
                <w:color w:val="000000" w:themeColor="text1"/>
              </w:rPr>
              <w:t>Genotipo-7</w:t>
            </w:r>
          </w:p>
        </w:tc>
      </w:tr>
      <w:tr w:rsidR="00B67794" w:rsidRPr="00711CC4" w:rsidTr="00B67794">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957" w:type="dxa"/>
          </w:tcPr>
          <w:p w:rsidR="00B67794" w:rsidRPr="00711CC4" w:rsidRDefault="00B67794" w:rsidP="00032094">
            <w:pPr>
              <w:keepNext/>
              <w:spacing w:line="360" w:lineRule="auto"/>
              <w:jc w:val="both"/>
              <w:rPr>
                <w:rFonts w:ascii="Arial" w:hAnsi="Arial" w:cs="Arial"/>
                <w:bCs w:val="0"/>
                <w:color w:val="000000" w:themeColor="text1"/>
              </w:rPr>
            </w:pPr>
            <w:r w:rsidRPr="00711CC4">
              <w:rPr>
                <w:rFonts w:ascii="Arial" w:hAnsi="Arial" w:cs="Arial"/>
                <w:bCs w:val="0"/>
                <w:color w:val="000000" w:themeColor="text1"/>
              </w:rPr>
              <w:t>T2</w:t>
            </w:r>
          </w:p>
        </w:tc>
        <w:tc>
          <w:tcPr>
            <w:tcW w:w="5572" w:type="dxa"/>
          </w:tcPr>
          <w:p w:rsidR="00B67794" w:rsidRPr="00711CC4" w:rsidRDefault="00B67794" w:rsidP="00032094">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711CC4">
              <w:rPr>
                <w:rFonts w:ascii="Arial" w:hAnsi="Arial" w:cs="Arial"/>
                <w:bCs/>
                <w:color w:val="000000" w:themeColor="text1"/>
              </w:rPr>
              <w:t>Genotipo-10</w:t>
            </w:r>
          </w:p>
        </w:tc>
      </w:tr>
      <w:tr w:rsidR="00B67794" w:rsidRPr="00711CC4" w:rsidTr="00B67794">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957" w:type="dxa"/>
          </w:tcPr>
          <w:p w:rsidR="00B67794" w:rsidRPr="00711CC4" w:rsidRDefault="00B67794" w:rsidP="00032094">
            <w:pPr>
              <w:keepNext/>
              <w:spacing w:line="360" w:lineRule="auto"/>
              <w:jc w:val="both"/>
              <w:rPr>
                <w:rFonts w:ascii="Arial" w:hAnsi="Arial" w:cs="Arial"/>
                <w:bCs w:val="0"/>
                <w:color w:val="000000" w:themeColor="text1"/>
              </w:rPr>
            </w:pPr>
            <w:r w:rsidRPr="00711CC4">
              <w:rPr>
                <w:rFonts w:ascii="Arial" w:hAnsi="Arial" w:cs="Arial"/>
                <w:bCs w:val="0"/>
                <w:color w:val="000000" w:themeColor="text1"/>
              </w:rPr>
              <w:t>T3</w:t>
            </w:r>
          </w:p>
        </w:tc>
        <w:tc>
          <w:tcPr>
            <w:tcW w:w="5572" w:type="dxa"/>
          </w:tcPr>
          <w:p w:rsidR="00B67794" w:rsidRPr="00711CC4" w:rsidRDefault="00B67794" w:rsidP="00032094">
            <w:pPr>
              <w:keepNext/>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rPr>
            </w:pPr>
            <w:r w:rsidRPr="00711CC4">
              <w:rPr>
                <w:rFonts w:ascii="Arial" w:hAnsi="Arial" w:cs="Arial"/>
                <w:bCs/>
                <w:color w:val="000000" w:themeColor="text1"/>
              </w:rPr>
              <w:t>Genotipo-15</w:t>
            </w:r>
          </w:p>
        </w:tc>
      </w:tr>
    </w:tbl>
    <w:p w:rsidR="00B67794" w:rsidRPr="00711CC4" w:rsidRDefault="00B67794" w:rsidP="00032094">
      <w:pPr>
        <w:spacing w:line="360" w:lineRule="auto"/>
        <w:jc w:val="both"/>
        <w:rPr>
          <w:rFonts w:ascii="Arial" w:hAnsi="Arial" w:cs="Arial"/>
        </w:rPr>
      </w:pPr>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r w:rsidRPr="00711CC4">
        <w:rPr>
          <w:rFonts w:ascii="Arial" w:eastAsiaTheme="majorEastAsia" w:hAnsi="Arial" w:cs="Arial"/>
          <w:b/>
          <w:bCs/>
          <w:color w:val="000000" w:themeColor="text1"/>
        </w:rPr>
        <w:t xml:space="preserve">  </w:t>
      </w:r>
      <w:bookmarkStart w:id="17" w:name="_Toc65306569"/>
      <w:r w:rsidRPr="00711CC4">
        <w:rPr>
          <w:rFonts w:ascii="Arial" w:eastAsiaTheme="majorEastAsia" w:hAnsi="Arial" w:cs="Arial"/>
          <w:b/>
          <w:bCs/>
          <w:color w:val="000000" w:themeColor="text1"/>
        </w:rPr>
        <w:t>Variables de Respuesta</w:t>
      </w:r>
      <w:bookmarkEnd w:id="17"/>
    </w:p>
    <w:p w:rsidR="00711CC4" w:rsidRDefault="00711CC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Para registrar las variables de respuesta  en plantas  de la  generación M3, se eligieron aleatoriamente  15 plantas al azar de la parte central, con el fin de obtener uniformidad en cada unidad experimental durante su desarrollo fenológico.</w:t>
      </w:r>
    </w:p>
    <w:p w:rsidR="00B67794" w:rsidRPr="00711CC4" w:rsidRDefault="00B67794" w:rsidP="00032094">
      <w:pPr>
        <w:keepNext/>
        <w:keepLines/>
        <w:numPr>
          <w:ilvl w:val="3"/>
          <w:numId w:val="25"/>
        </w:numPr>
        <w:spacing w:before="200" w:after="0" w:line="360" w:lineRule="auto"/>
        <w:jc w:val="both"/>
        <w:outlineLvl w:val="3"/>
        <w:rPr>
          <w:rFonts w:ascii="Arial" w:eastAsiaTheme="majorEastAsia" w:hAnsi="Arial" w:cs="Arial"/>
          <w:b/>
          <w:bCs/>
          <w:iCs/>
          <w:color w:val="000000" w:themeColor="text1"/>
        </w:rPr>
      </w:pPr>
      <w:r w:rsidRPr="00711CC4">
        <w:rPr>
          <w:rFonts w:ascii="Arial" w:eastAsiaTheme="majorEastAsia" w:hAnsi="Arial" w:cs="Arial"/>
          <w:b/>
          <w:bCs/>
          <w:iCs/>
          <w:color w:val="000000" w:themeColor="text1"/>
        </w:rPr>
        <w:t xml:space="preserve"> Variables en laboratorio</w:t>
      </w:r>
    </w:p>
    <w:p w:rsidR="00B67794" w:rsidRPr="00711CC4" w:rsidRDefault="00B67794" w:rsidP="00032094">
      <w:pPr>
        <w:keepNext/>
        <w:keepLines/>
        <w:numPr>
          <w:ilvl w:val="4"/>
          <w:numId w:val="25"/>
        </w:numPr>
        <w:spacing w:before="200" w:after="0" w:line="360" w:lineRule="auto"/>
        <w:jc w:val="both"/>
        <w:outlineLvl w:val="4"/>
        <w:rPr>
          <w:rFonts w:ascii="Arial" w:eastAsiaTheme="majorEastAsia" w:hAnsi="Arial" w:cs="Arial"/>
          <w:b/>
          <w:color w:val="000000" w:themeColor="text1"/>
        </w:rPr>
      </w:pPr>
      <w:r w:rsidRPr="00711CC4">
        <w:rPr>
          <w:rFonts w:ascii="Arial" w:eastAsiaTheme="majorEastAsia" w:hAnsi="Arial" w:cs="Arial"/>
          <w:b/>
          <w:color w:val="000000" w:themeColor="text1"/>
        </w:rPr>
        <w:t xml:space="preserve">Porcentaje de germinación </w:t>
      </w:r>
    </w:p>
    <w:p w:rsidR="00711CC4" w:rsidRDefault="00711CC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El porcentaje de germinación en laboratorio se determinó  con la siguiente formula</w:t>
      </w:r>
      <w:proofErr w:type="gramStart"/>
      <w:r w:rsidRPr="00711CC4">
        <w:rPr>
          <w:rFonts w:ascii="Arial" w:hAnsi="Arial" w:cs="Arial"/>
        </w:rPr>
        <w:t>:6</w:t>
      </w:r>
      <w:proofErr w:type="gramEnd"/>
    </w:p>
    <w:p w:rsidR="00B67794" w:rsidRPr="00711CC4" w:rsidRDefault="00B67794" w:rsidP="0095154F">
      <w:pPr>
        <w:spacing w:line="360" w:lineRule="auto"/>
        <w:jc w:val="both"/>
        <w:rPr>
          <w:rFonts w:ascii="Arial" w:hAnsi="Arial" w:cs="Arial"/>
        </w:rPr>
      </w:pPr>
      <m:oMathPara>
        <m:oMath>
          <m:r>
            <w:rPr>
              <w:rFonts w:ascii="Cambria Math" w:hAnsi="Cambria Math" w:cs="Arial"/>
            </w:rPr>
            <m:t xml:space="preserve"> % GERMINACIÓN =</m:t>
          </m:r>
          <m:f>
            <m:fPr>
              <m:ctrlPr>
                <w:rPr>
                  <w:rFonts w:ascii="Cambria Math" w:hAnsi="Cambria Math" w:cs="Arial"/>
                  <w:i/>
                </w:rPr>
              </m:ctrlPr>
            </m:fPr>
            <m:num>
              <m:r>
                <w:rPr>
                  <w:rFonts w:ascii="Cambria Math" w:hAnsi="Cambria Math" w:cs="Arial"/>
                </w:rPr>
                <m:t xml:space="preserve">Nº de semillas germinadas </m:t>
              </m:r>
            </m:num>
            <m:den>
              <m:r>
                <w:rPr>
                  <w:rFonts w:ascii="Cambria Math" w:hAnsi="Cambria Math" w:cs="Arial"/>
                </w:rPr>
                <m:t xml:space="preserve">Nº total de semillas totales </m:t>
              </m:r>
            </m:den>
          </m:f>
          <m:r>
            <w:rPr>
              <w:rFonts w:ascii="Cambria Math" w:hAnsi="Cambria Math" w:cs="Arial"/>
            </w:rPr>
            <m:t>×100%</m:t>
          </m:r>
        </m:oMath>
      </m:oMathPara>
    </w:p>
    <w:p w:rsidR="00B67794" w:rsidRPr="00711CC4" w:rsidRDefault="00B67794" w:rsidP="0095154F">
      <w:pPr>
        <w:keepNext/>
        <w:keepLines/>
        <w:numPr>
          <w:ilvl w:val="3"/>
          <w:numId w:val="25"/>
        </w:numPr>
        <w:spacing w:before="200" w:after="0" w:line="360" w:lineRule="auto"/>
        <w:jc w:val="both"/>
        <w:outlineLvl w:val="3"/>
        <w:rPr>
          <w:rFonts w:ascii="Arial" w:eastAsiaTheme="majorEastAsia" w:hAnsi="Arial" w:cs="Arial"/>
          <w:b/>
          <w:bCs/>
          <w:iCs/>
          <w:color w:val="000000" w:themeColor="text1"/>
        </w:rPr>
      </w:pPr>
      <w:r w:rsidRPr="00711CC4">
        <w:rPr>
          <w:rFonts w:ascii="Arial" w:eastAsiaTheme="majorEastAsia" w:hAnsi="Arial" w:cs="Arial"/>
          <w:b/>
          <w:bCs/>
          <w:iCs/>
          <w:color w:val="000000" w:themeColor="text1"/>
        </w:rPr>
        <w:t>Variables de crecimiento y desarrollo en campo</w:t>
      </w:r>
    </w:p>
    <w:p w:rsidR="00B67794" w:rsidRPr="00711CC4" w:rsidRDefault="00B67794" w:rsidP="0095154F">
      <w:pPr>
        <w:keepNext/>
        <w:keepLines/>
        <w:numPr>
          <w:ilvl w:val="4"/>
          <w:numId w:val="25"/>
        </w:numPr>
        <w:spacing w:before="200" w:after="0" w:line="360" w:lineRule="auto"/>
        <w:jc w:val="both"/>
        <w:outlineLvl w:val="4"/>
        <w:rPr>
          <w:rFonts w:ascii="Arial" w:eastAsiaTheme="majorEastAsia" w:hAnsi="Arial" w:cs="Arial"/>
          <w:b/>
          <w:color w:val="000000" w:themeColor="text1"/>
        </w:rPr>
      </w:pPr>
      <w:r w:rsidRPr="00711CC4">
        <w:rPr>
          <w:rFonts w:ascii="Arial" w:eastAsiaTheme="majorEastAsia" w:hAnsi="Arial" w:cs="Arial"/>
          <w:b/>
          <w:color w:val="000000" w:themeColor="text1"/>
        </w:rPr>
        <w:t xml:space="preserve"> Variables fenológicas </w:t>
      </w:r>
    </w:p>
    <w:p w:rsidR="00B67794" w:rsidRPr="00711CC4" w:rsidRDefault="00B67794" w:rsidP="0095154F">
      <w:pPr>
        <w:spacing w:line="360" w:lineRule="auto"/>
        <w:jc w:val="both"/>
        <w:rPr>
          <w:rFonts w:ascii="Arial" w:hAnsi="Arial" w:cs="Arial"/>
        </w:rPr>
      </w:pPr>
    </w:p>
    <w:p w:rsidR="00B67794" w:rsidRPr="00711CC4" w:rsidRDefault="00B67794" w:rsidP="0095154F">
      <w:pPr>
        <w:spacing w:line="360" w:lineRule="auto"/>
        <w:jc w:val="both"/>
        <w:rPr>
          <w:rFonts w:ascii="Arial" w:hAnsi="Arial" w:cs="Arial"/>
        </w:rPr>
      </w:pPr>
      <w:r w:rsidRPr="00711CC4">
        <w:rPr>
          <w:rFonts w:ascii="Arial" w:hAnsi="Arial" w:cs="Arial"/>
        </w:rPr>
        <w:t>Nuestras variables fueron evaluados bajo la descripción  para el cultivo de la quinua  descrito por (</w:t>
      </w:r>
      <w:proofErr w:type="spellStart"/>
      <w:r w:rsidRPr="00711CC4">
        <w:rPr>
          <w:rFonts w:ascii="Arial" w:hAnsi="Arial" w:cs="Arial"/>
        </w:rPr>
        <w:t>Bioversity</w:t>
      </w:r>
      <w:proofErr w:type="spellEnd"/>
      <w:r w:rsidRPr="00711CC4">
        <w:rPr>
          <w:rFonts w:ascii="Arial" w:hAnsi="Arial" w:cs="Arial"/>
        </w:rPr>
        <w:t xml:space="preserve"> International, FAO, PROINPA, INIAF y FIDA, 2013).</w:t>
      </w:r>
    </w:p>
    <w:p w:rsidR="00B67794" w:rsidRPr="00711CC4" w:rsidRDefault="00B67794" w:rsidP="0095154F">
      <w:pPr>
        <w:keepNext/>
        <w:keepLines/>
        <w:numPr>
          <w:ilvl w:val="5"/>
          <w:numId w:val="25"/>
        </w:numPr>
        <w:spacing w:before="200" w:after="0" w:line="360" w:lineRule="auto"/>
        <w:jc w:val="both"/>
        <w:outlineLvl w:val="5"/>
        <w:rPr>
          <w:rFonts w:ascii="Arial" w:eastAsiaTheme="majorEastAsia" w:hAnsi="Arial" w:cs="Arial"/>
          <w:b/>
          <w:iCs/>
          <w:color w:val="000000" w:themeColor="text1"/>
        </w:rPr>
      </w:pPr>
      <w:r w:rsidRPr="00711CC4">
        <w:rPr>
          <w:rFonts w:ascii="Arial" w:eastAsiaTheme="majorEastAsia" w:hAnsi="Arial" w:cs="Arial"/>
          <w:b/>
          <w:iCs/>
          <w:color w:val="000000" w:themeColor="text1"/>
        </w:rPr>
        <w:lastRenderedPageBreak/>
        <w:t xml:space="preserve"> Días a la emergencia </w:t>
      </w:r>
    </w:p>
    <w:p w:rsidR="00B67794" w:rsidRPr="00711CC4" w:rsidRDefault="00B67794" w:rsidP="0095154F">
      <w:pPr>
        <w:spacing w:line="360" w:lineRule="auto"/>
        <w:jc w:val="both"/>
        <w:rPr>
          <w:rFonts w:ascii="Arial" w:hAnsi="Arial" w:cs="Arial"/>
        </w:rPr>
      </w:pPr>
    </w:p>
    <w:p w:rsidR="00B67794" w:rsidRPr="00711CC4" w:rsidRDefault="00B67794" w:rsidP="0095154F">
      <w:pPr>
        <w:spacing w:line="360" w:lineRule="auto"/>
        <w:jc w:val="both"/>
        <w:rPr>
          <w:rFonts w:ascii="Arial" w:hAnsi="Arial" w:cs="Arial"/>
        </w:rPr>
      </w:pPr>
      <w:r w:rsidRPr="00711CC4">
        <w:rPr>
          <w:rFonts w:ascii="Arial" w:hAnsi="Arial" w:cs="Arial"/>
        </w:rPr>
        <w:t xml:space="preserve">Los días a la emergencia  fueron determinados contando  los días transcurridos desde la fecha de siembra  hasta la fecha que emergieron más del 50% de las plantas por unidad experimental. Se registró a los 8 días donde las plantas emergieron con presencia de hojas cotiledóneas. </w:t>
      </w:r>
    </w:p>
    <w:p w:rsidR="00B67794" w:rsidRPr="00711CC4" w:rsidRDefault="00B67794" w:rsidP="00032094">
      <w:pPr>
        <w:keepNext/>
        <w:keepLines/>
        <w:numPr>
          <w:ilvl w:val="5"/>
          <w:numId w:val="25"/>
        </w:numPr>
        <w:spacing w:before="200" w:after="0" w:line="360" w:lineRule="auto"/>
        <w:jc w:val="both"/>
        <w:outlineLvl w:val="5"/>
        <w:rPr>
          <w:rFonts w:ascii="Arial" w:eastAsiaTheme="majorEastAsia" w:hAnsi="Arial" w:cs="Arial"/>
          <w:b/>
          <w:iCs/>
          <w:color w:val="000000" w:themeColor="text1"/>
        </w:rPr>
      </w:pPr>
      <w:r w:rsidRPr="00711CC4">
        <w:rPr>
          <w:rFonts w:ascii="Arial" w:eastAsiaTheme="majorEastAsia" w:hAnsi="Arial" w:cs="Arial"/>
          <w:b/>
          <w:iCs/>
          <w:color w:val="000000" w:themeColor="text1"/>
        </w:rPr>
        <w:t xml:space="preserve">Días a la floración </w:t>
      </w:r>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La evaluación a días de floración  se determinó cuando el  50% de las  plantas presenten flores abiertas y anteras visibles en cada unidad experimental. El registro se realizó a los 86 días.</w:t>
      </w:r>
    </w:p>
    <w:p w:rsidR="00B67794" w:rsidRPr="00711CC4" w:rsidRDefault="00B67794" w:rsidP="00032094">
      <w:pPr>
        <w:keepNext/>
        <w:keepLines/>
        <w:numPr>
          <w:ilvl w:val="5"/>
          <w:numId w:val="25"/>
        </w:numPr>
        <w:spacing w:before="200" w:after="0" w:line="360" w:lineRule="auto"/>
        <w:jc w:val="both"/>
        <w:outlineLvl w:val="5"/>
        <w:rPr>
          <w:rFonts w:ascii="Arial" w:eastAsiaTheme="majorEastAsia" w:hAnsi="Arial" w:cs="Arial"/>
          <w:b/>
          <w:iCs/>
          <w:color w:val="000000" w:themeColor="text1"/>
        </w:rPr>
      </w:pPr>
      <w:r w:rsidRPr="00711CC4">
        <w:rPr>
          <w:rFonts w:ascii="Arial" w:eastAsiaTheme="majorEastAsia" w:hAnsi="Arial" w:cs="Arial"/>
          <w:b/>
          <w:iCs/>
          <w:color w:val="000000" w:themeColor="text1"/>
        </w:rPr>
        <w:t xml:space="preserve"> Días a la cosecha </w:t>
      </w:r>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El número de días a la cosecha se registraron cuando  las plantas presentaron evidencias de  maduración, es decir  cuando los granos  presenten una consistencia dura y un bajo porcentaje de humedad. Se registró desde los 171 a 177 días, momento en el que finalizó la cosecha de la quinua.</w:t>
      </w:r>
    </w:p>
    <w:p w:rsidR="00B67794" w:rsidRPr="00711CC4" w:rsidRDefault="00B67794" w:rsidP="00032094">
      <w:pPr>
        <w:keepNext/>
        <w:keepLines/>
        <w:numPr>
          <w:ilvl w:val="3"/>
          <w:numId w:val="25"/>
        </w:numPr>
        <w:spacing w:before="200" w:after="0" w:line="360" w:lineRule="auto"/>
        <w:jc w:val="both"/>
        <w:outlineLvl w:val="3"/>
        <w:rPr>
          <w:rFonts w:ascii="Arial" w:eastAsiaTheme="majorEastAsia" w:hAnsi="Arial" w:cs="Arial"/>
          <w:b/>
          <w:bCs/>
          <w:iCs/>
          <w:color w:val="000000" w:themeColor="text1"/>
        </w:rPr>
      </w:pPr>
      <w:r w:rsidRPr="00711CC4">
        <w:rPr>
          <w:rFonts w:ascii="Arial" w:eastAsiaTheme="majorEastAsia" w:hAnsi="Arial" w:cs="Arial"/>
          <w:b/>
          <w:bCs/>
          <w:iCs/>
          <w:color w:val="000000" w:themeColor="text1"/>
        </w:rPr>
        <w:t xml:space="preserve"> Variables de cosecha</w:t>
      </w:r>
    </w:p>
    <w:p w:rsidR="00B67794" w:rsidRPr="00711CC4" w:rsidRDefault="00B67794" w:rsidP="00032094">
      <w:pPr>
        <w:keepNext/>
        <w:keepLines/>
        <w:numPr>
          <w:ilvl w:val="4"/>
          <w:numId w:val="25"/>
        </w:numPr>
        <w:spacing w:before="200" w:after="0" w:line="360" w:lineRule="auto"/>
        <w:jc w:val="both"/>
        <w:outlineLvl w:val="4"/>
        <w:rPr>
          <w:rFonts w:ascii="Arial" w:eastAsiaTheme="majorEastAsia" w:hAnsi="Arial" w:cs="Arial"/>
          <w:b/>
          <w:color w:val="000000" w:themeColor="text1"/>
        </w:rPr>
      </w:pPr>
      <w:r w:rsidRPr="00711CC4">
        <w:rPr>
          <w:rFonts w:ascii="Arial" w:eastAsiaTheme="majorEastAsia" w:hAnsi="Arial" w:cs="Arial"/>
          <w:b/>
          <w:color w:val="000000" w:themeColor="text1"/>
        </w:rPr>
        <w:t xml:space="preserve"> Altura de la planta</w:t>
      </w:r>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La medición de altura de la planta fue medida  una vez que la planta alcanzó su   madurez fisiológica, efectuando el muestreo de 15 plantas al azar de la parte central con el fin de evitar el efecto de borde y tener plantas homogéneas, para luego obtener un promedio. La altura se midió desde la base del tallo principal hasta el punto apical de la panoja.</w:t>
      </w:r>
    </w:p>
    <w:p w:rsidR="00B67794" w:rsidRPr="00711CC4" w:rsidRDefault="00B67794" w:rsidP="00032094">
      <w:pPr>
        <w:keepNext/>
        <w:keepLines/>
        <w:numPr>
          <w:ilvl w:val="4"/>
          <w:numId w:val="25"/>
        </w:numPr>
        <w:spacing w:before="200" w:after="0" w:line="360" w:lineRule="auto"/>
        <w:jc w:val="both"/>
        <w:outlineLvl w:val="4"/>
        <w:rPr>
          <w:rFonts w:ascii="Arial" w:eastAsiaTheme="majorEastAsia" w:hAnsi="Arial" w:cs="Arial"/>
          <w:b/>
          <w:color w:val="000000" w:themeColor="text1"/>
        </w:rPr>
      </w:pPr>
      <w:r w:rsidRPr="00711CC4">
        <w:rPr>
          <w:rFonts w:ascii="Arial" w:eastAsiaTheme="majorEastAsia" w:hAnsi="Arial" w:cs="Arial"/>
          <w:b/>
          <w:color w:val="000000" w:themeColor="text1"/>
        </w:rPr>
        <w:t>Longitud de panoja</w:t>
      </w:r>
    </w:p>
    <w:p w:rsidR="0095154F" w:rsidRPr="00711CC4" w:rsidRDefault="0095154F" w:rsidP="00032094">
      <w:pPr>
        <w:spacing w:line="360" w:lineRule="auto"/>
        <w:jc w:val="both"/>
        <w:rPr>
          <w:rFonts w:ascii="Arial" w:hAnsi="Arial" w:cs="Arial"/>
        </w:rPr>
      </w:pPr>
      <w:r w:rsidRPr="00711CC4">
        <w:rPr>
          <w:rFonts w:ascii="Arial" w:hAnsi="Arial" w:cs="Arial"/>
        </w:rPr>
        <w:t xml:space="preserve"> </w:t>
      </w:r>
    </w:p>
    <w:p w:rsidR="00B67794" w:rsidRPr="00711CC4" w:rsidRDefault="00B67794" w:rsidP="00032094">
      <w:pPr>
        <w:spacing w:line="360" w:lineRule="auto"/>
        <w:jc w:val="both"/>
        <w:rPr>
          <w:rFonts w:ascii="Arial" w:hAnsi="Arial" w:cs="Arial"/>
        </w:rPr>
      </w:pPr>
      <w:r w:rsidRPr="00711CC4">
        <w:rPr>
          <w:rFonts w:ascii="Arial" w:hAnsi="Arial" w:cs="Arial"/>
        </w:rPr>
        <w:t>La longitud de panoja se midió al momento de la cosecha con la ayuda de una regla desde la base de la panoja hasta el ápice principal, tomando en cuenta   las 15 plantas seleccionadas al azar de cada unidad experimental y finalmente obtener un promedio.</w:t>
      </w:r>
    </w:p>
    <w:p w:rsidR="00B67794" w:rsidRPr="00711CC4" w:rsidRDefault="00B67794" w:rsidP="00032094">
      <w:pPr>
        <w:keepNext/>
        <w:keepLines/>
        <w:numPr>
          <w:ilvl w:val="4"/>
          <w:numId w:val="25"/>
        </w:numPr>
        <w:spacing w:before="200" w:after="0" w:line="360" w:lineRule="auto"/>
        <w:jc w:val="both"/>
        <w:outlineLvl w:val="4"/>
        <w:rPr>
          <w:rFonts w:ascii="Arial" w:eastAsiaTheme="majorEastAsia" w:hAnsi="Arial" w:cs="Arial"/>
          <w:b/>
          <w:color w:val="000000" w:themeColor="text1"/>
        </w:rPr>
      </w:pPr>
      <w:r w:rsidRPr="00711CC4">
        <w:rPr>
          <w:rFonts w:ascii="Arial" w:eastAsiaTheme="majorEastAsia" w:hAnsi="Arial" w:cs="Arial"/>
          <w:b/>
          <w:color w:val="000000" w:themeColor="text1"/>
        </w:rPr>
        <w:lastRenderedPageBreak/>
        <w:t>Peso de grano por panoja</w:t>
      </w:r>
    </w:p>
    <w:p w:rsidR="00B67794" w:rsidRPr="00711CC4" w:rsidRDefault="00B67794" w:rsidP="00032094">
      <w:pPr>
        <w:spacing w:line="360" w:lineRule="auto"/>
        <w:jc w:val="both"/>
        <w:rPr>
          <w:rFonts w:ascii="Arial" w:hAnsi="Arial" w:cs="Arial"/>
        </w:rPr>
      </w:pPr>
    </w:p>
    <w:p w:rsidR="00711CC4" w:rsidRDefault="00B67794" w:rsidP="00032094">
      <w:pPr>
        <w:spacing w:line="360" w:lineRule="auto"/>
        <w:jc w:val="both"/>
        <w:rPr>
          <w:rFonts w:ascii="Arial" w:hAnsi="Arial" w:cs="Arial"/>
        </w:rPr>
      </w:pPr>
      <w:r w:rsidRPr="00711CC4">
        <w:rPr>
          <w:rFonts w:ascii="Arial" w:hAnsi="Arial" w:cs="Arial"/>
        </w:rPr>
        <w:t xml:space="preserve">Para la determinación del peso de grano por panoja se  realizó el pesado de grano  de las 15 plantas (muestras) de cada  unidad experimental. </w:t>
      </w:r>
    </w:p>
    <w:p w:rsidR="00242F8D" w:rsidRPr="00711CC4" w:rsidRDefault="00242F8D" w:rsidP="00032094">
      <w:pPr>
        <w:spacing w:line="360" w:lineRule="auto"/>
        <w:jc w:val="both"/>
        <w:rPr>
          <w:rFonts w:ascii="Arial" w:hAnsi="Arial" w:cs="Arial"/>
        </w:rPr>
      </w:pPr>
    </w:p>
    <w:p w:rsidR="00B67794" w:rsidRPr="00711CC4" w:rsidRDefault="00B67794" w:rsidP="00032094">
      <w:pPr>
        <w:keepNext/>
        <w:keepLines/>
        <w:numPr>
          <w:ilvl w:val="4"/>
          <w:numId w:val="25"/>
        </w:numPr>
        <w:spacing w:before="200" w:after="0" w:line="360" w:lineRule="auto"/>
        <w:jc w:val="both"/>
        <w:outlineLvl w:val="4"/>
        <w:rPr>
          <w:rFonts w:ascii="Arial" w:eastAsiaTheme="majorEastAsia" w:hAnsi="Arial" w:cs="Arial"/>
          <w:b/>
          <w:color w:val="000000" w:themeColor="text1"/>
        </w:rPr>
      </w:pPr>
      <w:r w:rsidRPr="00711CC4">
        <w:rPr>
          <w:rFonts w:ascii="Arial" w:eastAsiaTheme="majorEastAsia" w:hAnsi="Arial" w:cs="Arial"/>
          <w:b/>
          <w:color w:val="000000" w:themeColor="text1"/>
        </w:rPr>
        <w:t>Peso de 100 semillas (g)</w:t>
      </w:r>
    </w:p>
    <w:p w:rsidR="00B67794" w:rsidRPr="00711CC4" w:rsidRDefault="00B67794" w:rsidP="00032094">
      <w:pPr>
        <w:spacing w:line="360" w:lineRule="auto"/>
        <w:jc w:val="both"/>
        <w:rPr>
          <w:rFonts w:ascii="Arial" w:hAnsi="Arial" w:cs="Arial"/>
        </w:rPr>
      </w:pPr>
    </w:p>
    <w:p w:rsidR="00B67794" w:rsidRPr="00711CC4" w:rsidRDefault="00B67794" w:rsidP="00032094">
      <w:pPr>
        <w:tabs>
          <w:tab w:val="left" w:pos="3193"/>
        </w:tabs>
        <w:spacing w:line="360" w:lineRule="auto"/>
        <w:jc w:val="both"/>
        <w:rPr>
          <w:rFonts w:ascii="Arial" w:hAnsi="Arial" w:cs="Arial"/>
        </w:rPr>
      </w:pPr>
      <w:r w:rsidRPr="00711CC4">
        <w:rPr>
          <w:rFonts w:ascii="Arial" w:hAnsi="Arial" w:cs="Arial"/>
        </w:rPr>
        <w:t>Para medir esta variable se realizó el conteo de  100 semillas al azar  de cada tratamiento, seguidamente se pesó en una balanza de precisión y se expresaron  en gramos.</w:t>
      </w:r>
    </w:p>
    <w:p w:rsidR="00B67794" w:rsidRPr="00711CC4" w:rsidRDefault="00B67794" w:rsidP="00032094">
      <w:pPr>
        <w:keepNext/>
        <w:keepLines/>
        <w:numPr>
          <w:ilvl w:val="4"/>
          <w:numId w:val="25"/>
        </w:numPr>
        <w:spacing w:before="200" w:after="0" w:line="360" w:lineRule="auto"/>
        <w:jc w:val="both"/>
        <w:outlineLvl w:val="4"/>
        <w:rPr>
          <w:rFonts w:ascii="Arial" w:eastAsiaTheme="majorEastAsia" w:hAnsi="Arial" w:cs="Arial"/>
          <w:b/>
          <w:color w:val="000000" w:themeColor="text1"/>
        </w:rPr>
      </w:pPr>
      <w:r w:rsidRPr="00711CC4">
        <w:rPr>
          <w:rFonts w:ascii="Arial" w:eastAsiaTheme="majorEastAsia" w:hAnsi="Arial" w:cs="Arial"/>
          <w:b/>
          <w:color w:val="000000" w:themeColor="text1"/>
        </w:rPr>
        <w:t>Rendimiento (kg/ha)</w:t>
      </w:r>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 xml:space="preserve">Para la determinación del  rendimiento de grano, se realizó pesando el grano de cada unidad experimental, los cuales fueron expresados en kilogramos por hectárea (Kg/ha). </w:t>
      </w:r>
    </w:p>
    <w:p w:rsidR="00B67794" w:rsidRPr="00711CC4" w:rsidRDefault="00B67794" w:rsidP="00032094">
      <w:pPr>
        <w:keepNext/>
        <w:keepLines/>
        <w:numPr>
          <w:ilvl w:val="3"/>
          <w:numId w:val="25"/>
        </w:numPr>
        <w:spacing w:before="200" w:after="0" w:line="360" w:lineRule="auto"/>
        <w:jc w:val="both"/>
        <w:outlineLvl w:val="3"/>
        <w:rPr>
          <w:rFonts w:ascii="Arial" w:eastAsiaTheme="majorEastAsia" w:hAnsi="Arial" w:cs="Arial"/>
          <w:b/>
          <w:bCs/>
          <w:iCs/>
          <w:color w:val="000000" w:themeColor="text1"/>
        </w:rPr>
      </w:pPr>
      <w:r w:rsidRPr="00711CC4">
        <w:rPr>
          <w:rFonts w:ascii="Arial" w:eastAsiaTheme="majorEastAsia" w:hAnsi="Arial" w:cs="Arial"/>
          <w:b/>
          <w:bCs/>
          <w:iCs/>
          <w:color w:val="000000" w:themeColor="text1"/>
        </w:rPr>
        <w:t xml:space="preserve"> Variables de evaluación de la enfermedad </w:t>
      </w:r>
    </w:p>
    <w:p w:rsidR="00B67794" w:rsidRPr="00711CC4" w:rsidRDefault="00B67794" w:rsidP="00032094">
      <w:pPr>
        <w:keepNext/>
        <w:keepLines/>
        <w:numPr>
          <w:ilvl w:val="4"/>
          <w:numId w:val="25"/>
        </w:numPr>
        <w:spacing w:before="200" w:after="0" w:line="360" w:lineRule="auto"/>
        <w:jc w:val="both"/>
        <w:outlineLvl w:val="4"/>
        <w:rPr>
          <w:rFonts w:ascii="Arial" w:eastAsiaTheme="majorEastAsia" w:hAnsi="Arial" w:cs="Arial"/>
          <w:b/>
          <w:color w:val="000000" w:themeColor="text1"/>
        </w:rPr>
      </w:pPr>
      <w:r w:rsidRPr="00711CC4">
        <w:rPr>
          <w:rFonts w:ascii="Arial" w:eastAsiaTheme="majorEastAsia" w:hAnsi="Arial" w:cs="Arial"/>
          <w:b/>
          <w:color w:val="000000" w:themeColor="text1"/>
        </w:rPr>
        <w:t xml:space="preserve"> Incidencia del mildiu</w:t>
      </w:r>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Para la incidencia, se realizó el conteo de las plantas afectadas con el mildiu de la quinua causada por un hongo (</w:t>
      </w:r>
      <w:proofErr w:type="spellStart"/>
      <w:r w:rsidRPr="00711CC4">
        <w:rPr>
          <w:rFonts w:ascii="Arial" w:hAnsi="Arial" w:cs="Arial"/>
          <w:i/>
        </w:rPr>
        <w:t>Peronospora</w:t>
      </w:r>
      <w:proofErr w:type="spellEnd"/>
      <w:r w:rsidRPr="00711CC4">
        <w:rPr>
          <w:rFonts w:ascii="Arial" w:hAnsi="Arial" w:cs="Arial"/>
          <w:i/>
        </w:rPr>
        <w:t xml:space="preserve"> </w:t>
      </w:r>
      <w:proofErr w:type="spellStart"/>
      <w:r w:rsidRPr="00711CC4">
        <w:rPr>
          <w:rFonts w:ascii="Arial" w:hAnsi="Arial" w:cs="Arial"/>
          <w:i/>
        </w:rPr>
        <w:t>variabilis</w:t>
      </w:r>
      <w:proofErr w:type="spellEnd"/>
      <w:r w:rsidRPr="00711CC4">
        <w:rPr>
          <w:rFonts w:ascii="Arial" w:hAnsi="Arial" w:cs="Arial"/>
        </w:rPr>
        <w:t xml:space="preserve">), sobre el total de plantas de cada unidad experimental, evaluada mediante la siguiente fórmula: </w:t>
      </w:r>
    </w:p>
    <w:p w:rsidR="00B67794" w:rsidRPr="00711CC4" w:rsidRDefault="00B67794" w:rsidP="00032094">
      <w:pPr>
        <w:spacing w:line="360" w:lineRule="auto"/>
        <w:jc w:val="both"/>
        <w:rPr>
          <w:rFonts w:ascii="Arial" w:hAnsi="Arial" w:cs="Arial"/>
        </w:rPr>
      </w:pPr>
      <m:oMathPara>
        <m:oMath>
          <m:r>
            <m:rPr>
              <m:sty m:val="bi"/>
            </m:rPr>
            <w:rPr>
              <w:rFonts w:ascii="Cambria Math" w:hAnsi="Cambria Math" w:cs="Arial"/>
            </w:rPr>
            <m:t>Incidencia=</m:t>
          </m:r>
          <m:f>
            <m:fPr>
              <m:ctrlPr>
                <w:rPr>
                  <w:rFonts w:ascii="Cambria Math" w:hAnsi="Cambria Math" w:cs="Arial"/>
                  <w:i/>
                </w:rPr>
              </m:ctrlPr>
            </m:fPr>
            <m:num>
              <m:r>
                <w:rPr>
                  <w:rFonts w:ascii="Cambria Math" w:hAnsi="Cambria Math" w:cs="Arial"/>
                </w:rPr>
                <m:t>Número de plantas enfermas</m:t>
              </m:r>
            </m:num>
            <m:den>
              <m:r>
                <w:rPr>
                  <w:rFonts w:ascii="Cambria Math" w:hAnsi="Cambria Math" w:cs="Arial"/>
                </w:rPr>
                <m:t>Número total de plantas</m:t>
              </m:r>
            </m:den>
          </m:f>
          <m:r>
            <w:rPr>
              <w:rFonts w:ascii="Cambria Math" w:hAnsi="Cambria Math" w:cs="Arial"/>
            </w:rPr>
            <m:t>×100%</m:t>
          </m:r>
        </m:oMath>
      </m:oMathPara>
    </w:p>
    <w:p w:rsidR="00B67794" w:rsidRPr="00711CC4" w:rsidRDefault="00B67794" w:rsidP="00032094">
      <w:pPr>
        <w:keepNext/>
        <w:keepLines/>
        <w:numPr>
          <w:ilvl w:val="4"/>
          <w:numId w:val="25"/>
        </w:numPr>
        <w:spacing w:before="200" w:after="0" w:line="360" w:lineRule="auto"/>
        <w:jc w:val="both"/>
        <w:outlineLvl w:val="4"/>
        <w:rPr>
          <w:rFonts w:ascii="Arial" w:eastAsiaTheme="majorEastAsia" w:hAnsi="Arial" w:cs="Arial"/>
          <w:b/>
          <w:color w:val="000000" w:themeColor="text1"/>
        </w:rPr>
      </w:pPr>
      <w:r w:rsidRPr="00711CC4">
        <w:rPr>
          <w:rFonts w:ascii="Arial" w:eastAsiaTheme="majorEastAsia" w:hAnsi="Arial" w:cs="Arial"/>
          <w:b/>
          <w:color w:val="000000" w:themeColor="text1"/>
        </w:rPr>
        <w:t xml:space="preserve"> Severidad de la enfermedad del mildiu</w:t>
      </w:r>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La severidad de la enfermedad se determinó bajo el método propuesto por (</w:t>
      </w:r>
      <w:proofErr w:type="spellStart"/>
      <w:r w:rsidRPr="00711CC4">
        <w:rPr>
          <w:rFonts w:ascii="Arial" w:hAnsi="Arial" w:cs="Arial"/>
        </w:rPr>
        <w:t>Danielsen</w:t>
      </w:r>
      <w:proofErr w:type="spellEnd"/>
      <w:r w:rsidRPr="00711CC4">
        <w:rPr>
          <w:rFonts w:ascii="Arial" w:hAnsi="Arial" w:cs="Arial"/>
        </w:rPr>
        <w:t xml:space="preserve"> y Ames, 2000), en las 15 plantas elegidas aleatoriamente de cada unidad experimental, de cada planta se eligió 3 hojas al azar una de cada tercio.</w:t>
      </w:r>
    </w:p>
    <w:p w:rsidR="00B67794" w:rsidRPr="00711CC4" w:rsidRDefault="00B67794" w:rsidP="00032094">
      <w:pPr>
        <w:spacing w:line="360" w:lineRule="auto"/>
        <w:jc w:val="both"/>
        <w:rPr>
          <w:rFonts w:ascii="Arial" w:hAnsi="Arial" w:cs="Arial"/>
          <w:i/>
        </w:rPr>
      </w:pPr>
      <w:r w:rsidRPr="00711CC4">
        <w:rPr>
          <w:rFonts w:ascii="Arial" w:hAnsi="Arial" w:cs="Arial"/>
        </w:rPr>
        <w:t xml:space="preserve">Las evaluaciones se midieron una vez por semana desde que se manifestó  los primeros síntomas del hongo </w:t>
      </w:r>
      <w:r w:rsidRPr="00711CC4">
        <w:rPr>
          <w:rFonts w:ascii="Arial" w:hAnsi="Arial" w:cs="Arial"/>
          <w:i/>
        </w:rPr>
        <w:t>(</w:t>
      </w:r>
      <w:proofErr w:type="spellStart"/>
      <w:r w:rsidRPr="00711CC4">
        <w:rPr>
          <w:rFonts w:ascii="Arial" w:hAnsi="Arial" w:cs="Arial"/>
          <w:i/>
        </w:rPr>
        <w:t>Peronospora</w:t>
      </w:r>
      <w:proofErr w:type="spellEnd"/>
      <w:r w:rsidRPr="00711CC4">
        <w:rPr>
          <w:rFonts w:ascii="Arial" w:hAnsi="Arial" w:cs="Arial"/>
          <w:i/>
        </w:rPr>
        <w:t xml:space="preserve"> </w:t>
      </w:r>
      <w:proofErr w:type="spellStart"/>
      <w:r w:rsidRPr="00711CC4">
        <w:rPr>
          <w:rFonts w:ascii="Arial" w:hAnsi="Arial" w:cs="Arial"/>
          <w:i/>
        </w:rPr>
        <w:t>variabilis</w:t>
      </w:r>
      <w:proofErr w:type="spellEnd"/>
      <w:r w:rsidRPr="00711CC4">
        <w:rPr>
          <w:rFonts w:ascii="Arial" w:hAnsi="Arial" w:cs="Arial"/>
          <w:i/>
        </w:rPr>
        <w:t>).</w:t>
      </w:r>
    </w:p>
    <w:p w:rsidR="00B67794" w:rsidRPr="00711CC4" w:rsidRDefault="00B67794" w:rsidP="00032094">
      <w:pPr>
        <w:spacing w:line="360" w:lineRule="auto"/>
        <w:jc w:val="both"/>
        <w:rPr>
          <w:rFonts w:ascii="Arial" w:hAnsi="Arial" w:cs="Arial"/>
        </w:rPr>
      </w:pPr>
      <w:r w:rsidRPr="00711CC4">
        <w:rPr>
          <w:rFonts w:ascii="Arial" w:hAnsi="Arial" w:cs="Arial"/>
        </w:rPr>
        <w:lastRenderedPageBreak/>
        <w:t>Para el cálculo del porcentaje del área afectada se utilizó la escala de severidad de la figura 3. En total se obtuvo siete evaluaciones  durante el periodo del experimento.</w:t>
      </w:r>
    </w:p>
    <w:p w:rsidR="00B67794" w:rsidRPr="00711CC4" w:rsidRDefault="00B67794" w:rsidP="00032094">
      <w:pPr>
        <w:spacing w:line="360" w:lineRule="auto"/>
        <w:jc w:val="both"/>
        <w:rPr>
          <w:rFonts w:ascii="Arial" w:hAnsi="Arial" w:cs="Arial"/>
        </w:rPr>
      </w:pPr>
      <w:r w:rsidRPr="00711CC4">
        <w:rPr>
          <w:rFonts w:ascii="Arial" w:hAnsi="Arial" w:cs="Arial"/>
        </w:rPr>
        <w:t xml:space="preserve">Para evaluar la resistencia del material genético a la enfermedad del mildiu bajo los datos obtenidos del porcentaje de severidad, se calculó la AUDPC (área bajo la curva de progreso de la enfermedad) para así realizar un mejor análisis del avancé de la enfermedad </w:t>
      </w:r>
    </w:p>
    <w:p w:rsidR="00242F8D" w:rsidRDefault="00B67794" w:rsidP="00032094">
      <w:pPr>
        <w:spacing w:line="360" w:lineRule="auto"/>
        <w:jc w:val="both"/>
        <w:rPr>
          <w:rFonts w:ascii="Arial" w:hAnsi="Arial" w:cs="Arial"/>
        </w:rPr>
      </w:pPr>
      <m:oMathPara>
        <m:oMath>
          <m:r>
            <w:rPr>
              <w:rFonts w:ascii="Cambria Math" w:hAnsi="Cambria Math" w:cs="Arial"/>
            </w:rPr>
            <m:t>AUDPC=</m:t>
          </m:r>
          <m:nary>
            <m:naryPr>
              <m:chr m:val="∑"/>
              <m:limLoc m:val="undOvr"/>
              <m:ctrlPr>
                <w:rPr>
                  <w:rFonts w:ascii="Cambria Math" w:hAnsi="Cambria Math" w:cs="Arial"/>
                  <w:i/>
                </w:rPr>
              </m:ctrlPr>
            </m:naryPr>
            <m:sub>
              <m:r>
                <w:rPr>
                  <w:rFonts w:ascii="Cambria Math" w:hAnsi="Cambria Math" w:cs="Arial"/>
                </w:rPr>
                <m:t>i</m:t>
              </m:r>
            </m:sub>
            <m:sup>
              <m:r>
                <w:rPr>
                  <w:rFonts w:ascii="Cambria Math" w:hAnsi="Cambria Math" w:cs="Arial"/>
                </w:rPr>
                <m:t>n-1</m:t>
              </m:r>
            </m:sup>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i+1</m:t>
                          </m:r>
                        </m:sub>
                      </m:sSub>
                    </m:num>
                    <m:den>
                      <m:r>
                        <w:rPr>
                          <w:rFonts w:ascii="Cambria Math" w:hAnsi="Cambria Math" w:cs="Arial"/>
                        </w:rPr>
                        <m:t>2</m:t>
                      </m:r>
                    </m:den>
                  </m:f>
                </m:e>
              </m:d>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i+1</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e>
              </m:d>
            </m:e>
          </m:nary>
        </m:oMath>
      </m:oMathPara>
    </w:p>
    <w:p w:rsidR="00B67794" w:rsidRPr="00711CC4" w:rsidRDefault="00B67794" w:rsidP="00032094">
      <w:pPr>
        <w:spacing w:line="360" w:lineRule="auto"/>
        <w:jc w:val="both"/>
        <w:rPr>
          <w:rFonts w:ascii="Arial" w:hAnsi="Arial" w:cs="Arial"/>
        </w:rPr>
      </w:pPr>
      <w:r w:rsidRPr="00711CC4">
        <w:rPr>
          <w:rFonts w:ascii="Arial" w:hAnsi="Arial" w:cs="Arial"/>
        </w:rPr>
        <w:t xml:space="preserve">Dónde: </w:t>
      </w:r>
    </w:p>
    <w:p w:rsidR="00B67794" w:rsidRPr="00711CC4" w:rsidRDefault="00B67794" w:rsidP="00032094">
      <w:pPr>
        <w:spacing w:line="360" w:lineRule="auto"/>
        <w:ind w:left="708"/>
        <w:jc w:val="both"/>
        <w:rPr>
          <w:rFonts w:ascii="Arial" w:hAnsi="Arial" w:cs="Arial"/>
        </w:rPr>
      </w:pPr>
      <w:r w:rsidRPr="00711CC4">
        <w:rPr>
          <w:rFonts w:ascii="Arial" w:hAnsi="Arial" w:cs="Arial"/>
        </w:rPr>
        <w:t>n= número de evaluaciones</w:t>
      </w:r>
    </w:p>
    <w:p w:rsidR="00B67794" w:rsidRPr="00711CC4" w:rsidRDefault="00B67794" w:rsidP="00032094">
      <w:pPr>
        <w:spacing w:line="360" w:lineRule="auto"/>
        <w:ind w:left="708"/>
        <w:jc w:val="both"/>
        <w:rPr>
          <w:rFonts w:ascii="Arial" w:hAnsi="Arial" w:cs="Arial"/>
        </w:rPr>
      </w:pPr>
      <w:r w:rsidRPr="00711CC4">
        <w:rPr>
          <w:rFonts w:ascii="Arial" w:hAnsi="Arial" w:cs="Arial"/>
        </w:rPr>
        <w:t>y= el grado de severidad</w:t>
      </w:r>
    </w:p>
    <w:p w:rsidR="00B67794" w:rsidRPr="00711CC4" w:rsidRDefault="00B67794" w:rsidP="0095154F">
      <w:pPr>
        <w:spacing w:line="360" w:lineRule="auto"/>
        <w:ind w:left="708"/>
        <w:jc w:val="both"/>
        <w:rPr>
          <w:rFonts w:ascii="Arial" w:hAnsi="Arial" w:cs="Arial"/>
        </w:rPr>
      </w:pPr>
      <w:r w:rsidRPr="00711CC4">
        <w:rPr>
          <w:rFonts w:ascii="Arial" w:hAnsi="Arial" w:cs="Arial"/>
        </w:rPr>
        <w:t>t= es el númer</w:t>
      </w:r>
      <w:r w:rsidR="0095154F" w:rsidRPr="00711CC4">
        <w:rPr>
          <w:rFonts w:ascii="Arial" w:hAnsi="Arial" w:cs="Arial"/>
        </w:rPr>
        <w:t>o de días después de la siembra</w:t>
      </w:r>
    </w:p>
    <w:p w:rsidR="00242F8D" w:rsidRDefault="00242F8D" w:rsidP="00242F8D">
      <w:pPr>
        <w:keepNext/>
        <w:keepLines/>
        <w:spacing w:before="480" w:after="0" w:line="360" w:lineRule="auto"/>
        <w:jc w:val="center"/>
        <w:outlineLvl w:val="0"/>
        <w:rPr>
          <w:rFonts w:ascii="Arial" w:eastAsiaTheme="majorEastAsia" w:hAnsi="Arial" w:cs="Arial"/>
          <w:b/>
          <w:bCs/>
          <w:color w:val="000000" w:themeColor="text1"/>
        </w:rPr>
      </w:pPr>
      <w:bookmarkStart w:id="18" w:name="_Toc65306570"/>
      <w:r>
        <w:rPr>
          <w:rFonts w:ascii="Arial" w:eastAsiaTheme="majorEastAsia" w:hAnsi="Arial" w:cs="Arial"/>
          <w:b/>
          <w:bCs/>
          <w:color w:val="000000" w:themeColor="text1"/>
        </w:rPr>
        <w:t>CAPITULO VII</w:t>
      </w:r>
    </w:p>
    <w:p w:rsidR="00B67794" w:rsidRPr="00711CC4" w:rsidRDefault="00B67794" w:rsidP="00242F8D">
      <w:pPr>
        <w:keepNext/>
        <w:keepLines/>
        <w:spacing w:before="480" w:after="0" w:line="360" w:lineRule="auto"/>
        <w:jc w:val="center"/>
        <w:outlineLvl w:val="0"/>
        <w:rPr>
          <w:rFonts w:ascii="Arial" w:eastAsiaTheme="majorEastAsia" w:hAnsi="Arial" w:cs="Arial"/>
          <w:b/>
          <w:bCs/>
          <w:color w:val="000000" w:themeColor="text1"/>
        </w:rPr>
      </w:pPr>
      <w:r w:rsidRPr="00711CC4">
        <w:rPr>
          <w:rFonts w:ascii="Arial" w:eastAsiaTheme="majorEastAsia" w:hAnsi="Arial" w:cs="Arial"/>
          <w:b/>
          <w:bCs/>
          <w:color w:val="000000" w:themeColor="text1"/>
        </w:rPr>
        <w:t>RESULTADOS Y DISCUSIONES</w:t>
      </w:r>
      <w:bookmarkEnd w:id="18"/>
    </w:p>
    <w:p w:rsidR="00B67794" w:rsidRPr="00711CC4" w:rsidRDefault="00B67794" w:rsidP="00242F8D">
      <w:pPr>
        <w:keepNext/>
        <w:keepLines/>
        <w:numPr>
          <w:ilvl w:val="1"/>
          <w:numId w:val="25"/>
        </w:numPr>
        <w:spacing w:before="200" w:after="0" w:line="360" w:lineRule="auto"/>
        <w:jc w:val="both"/>
        <w:outlineLvl w:val="1"/>
        <w:rPr>
          <w:rFonts w:ascii="Arial" w:eastAsiaTheme="majorEastAsia" w:hAnsi="Arial" w:cs="Arial"/>
          <w:b/>
          <w:bCs/>
          <w:color w:val="000000" w:themeColor="text1"/>
        </w:rPr>
      </w:pPr>
      <w:r w:rsidRPr="00711CC4">
        <w:rPr>
          <w:rFonts w:ascii="Arial" w:eastAsiaTheme="majorEastAsia" w:hAnsi="Arial" w:cs="Arial"/>
          <w:b/>
          <w:bCs/>
          <w:color w:val="000000" w:themeColor="text1"/>
        </w:rPr>
        <w:t xml:space="preserve"> </w:t>
      </w:r>
      <w:bookmarkStart w:id="19" w:name="_Toc65306571"/>
      <w:r w:rsidRPr="00711CC4">
        <w:rPr>
          <w:rFonts w:ascii="Arial" w:eastAsiaTheme="majorEastAsia" w:hAnsi="Arial" w:cs="Arial"/>
          <w:b/>
          <w:bCs/>
          <w:color w:val="000000" w:themeColor="text1"/>
        </w:rPr>
        <w:t>Aspectos climáticos</w:t>
      </w:r>
      <w:bookmarkEnd w:id="19"/>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bookmarkStart w:id="20" w:name="_Toc65306572"/>
      <w:r w:rsidRPr="00711CC4">
        <w:rPr>
          <w:rFonts w:ascii="Arial" w:eastAsiaTheme="majorEastAsia" w:hAnsi="Arial" w:cs="Arial"/>
          <w:b/>
          <w:bCs/>
          <w:color w:val="000000" w:themeColor="text1"/>
        </w:rPr>
        <w:t>Temperatura</w:t>
      </w:r>
      <w:bookmarkEnd w:id="20"/>
      <w:r w:rsidRPr="00711CC4">
        <w:rPr>
          <w:rFonts w:ascii="Arial" w:eastAsiaTheme="majorEastAsia" w:hAnsi="Arial" w:cs="Arial"/>
          <w:b/>
          <w:bCs/>
          <w:color w:val="000000" w:themeColor="text1"/>
        </w:rPr>
        <w:t xml:space="preserve"> </w:t>
      </w:r>
    </w:p>
    <w:p w:rsidR="00B67794" w:rsidRPr="00711CC4" w:rsidRDefault="00B67794" w:rsidP="00032094">
      <w:pPr>
        <w:spacing w:line="360" w:lineRule="auto"/>
        <w:jc w:val="both"/>
        <w:rPr>
          <w:rFonts w:ascii="Arial" w:hAnsi="Arial" w:cs="Arial"/>
        </w:rPr>
      </w:pPr>
    </w:p>
    <w:p w:rsidR="00711CC4" w:rsidRDefault="00242F8D" w:rsidP="00032094">
      <w:pPr>
        <w:spacing w:line="360" w:lineRule="auto"/>
        <w:jc w:val="both"/>
        <w:rPr>
          <w:rFonts w:ascii="Arial" w:hAnsi="Arial" w:cs="Arial"/>
        </w:rPr>
      </w:pPr>
      <w:r>
        <w:rPr>
          <w:rFonts w:ascii="Arial" w:hAnsi="Arial" w:cs="Arial"/>
        </w:rPr>
        <w:t>En la  figura 1</w:t>
      </w:r>
      <w:r w:rsidR="00B67794" w:rsidRPr="00711CC4">
        <w:rPr>
          <w:rFonts w:ascii="Arial" w:hAnsi="Arial" w:cs="Arial"/>
        </w:rPr>
        <w:t xml:space="preserve"> se observa  las variaciones de las temperaturas máximas y mínimas registradas durante la campaña agrícola del cultivo, donde la temperatura mensual más mínima se registró a inicios del mes de diciembre  del 2018  con una mínima extrema  de -10,3ºC  lo cual provocó una fuerte helada en la quinua. Respecto a las temperaturas máximas se registraron en el mes de  febrero del añ</w:t>
      </w:r>
      <w:r w:rsidR="00711CC4">
        <w:rPr>
          <w:rFonts w:ascii="Arial" w:hAnsi="Arial" w:cs="Arial"/>
        </w:rPr>
        <w:t>o 2019 con una máxima de 35ºC.</w:t>
      </w:r>
    </w:p>
    <w:p w:rsidR="00B67794" w:rsidRPr="00711CC4" w:rsidRDefault="00711CC4" w:rsidP="00032094">
      <w:pPr>
        <w:spacing w:line="360" w:lineRule="auto"/>
        <w:jc w:val="both"/>
        <w:rPr>
          <w:rFonts w:ascii="Arial" w:hAnsi="Arial" w:cs="Arial"/>
        </w:rPr>
      </w:pPr>
      <w:r>
        <w:rPr>
          <w:rFonts w:ascii="Arial" w:hAnsi="Arial" w:cs="Arial"/>
        </w:rPr>
        <w:t xml:space="preserve"> </w:t>
      </w:r>
      <w:r w:rsidR="00B67794" w:rsidRPr="00711CC4">
        <w:rPr>
          <w:rFonts w:ascii="Arial" w:hAnsi="Arial" w:cs="Arial"/>
        </w:rPr>
        <w:t xml:space="preserve">En la misma figura se puede apreciar que hubo descensos de temperatura en los meses de febrero y marzo 2019 con promedios de -3ºC, provocando heladas leves durante el ciclo vegetativo del cultivo. </w:t>
      </w:r>
    </w:p>
    <w:p w:rsidR="00B67794" w:rsidRPr="00711CC4" w:rsidRDefault="00B67794" w:rsidP="00032094">
      <w:pPr>
        <w:spacing w:line="360" w:lineRule="auto"/>
        <w:jc w:val="both"/>
        <w:rPr>
          <w:rFonts w:ascii="Arial" w:hAnsi="Arial" w:cs="Arial"/>
        </w:rPr>
      </w:pPr>
    </w:p>
    <w:p w:rsidR="00B67794" w:rsidRPr="00711CC4" w:rsidRDefault="00B67794" w:rsidP="00242F8D">
      <w:pPr>
        <w:keepNext/>
        <w:spacing w:line="360" w:lineRule="auto"/>
        <w:jc w:val="center"/>
        <w:rPr>
          <w:rFonts w:ascii="Arial" w:hAnsi="Arial" w:cs="Arial"/>
        </w:rPr>
      </w:pPr>
      <w:r w:rsidRPr="00711CC4">
        <w:rPr>
          <w:rFonts w:ascii="Arial" w:hAnsi="Arial" w:cs="Arial"/>
          <w:noProof/>
          <w:lang w:eastAsia="es-ES"/>
        </w:rPr>
        <w:lastRenderedPageBreak/>
        <w:drawing>
          <wp:inline distT="0" distB="0" distL="0" distR="0" wp14:anchorId="079821ED" wp14:editId="725A371E">
            <wp:extent cx="4601818" cy="2703443"/>
            <wp:effectExtent l="0" t="0" r="27940" b="20955"/>
            <wp:docPr id="4" name="Gráfico 4" descr="nm" title="nn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67794" w:rsidRPr="00711CC4" w:rsidRDefault="00B67794" w:rsidP="00242F8D">
      <w:pPr>
        <w:spacing w:line="360" w:lineRule="auto"/>
        <w:jc w:val="center"/>
        <w:rPr>
          <w:rFonts w:ascii="Arial" w:hAnsi="Arial" w:cs="Arial"/>
          <w:b/>
          <w:bCs/>
          <w:color w:val="000000" w:themeColor="text1"/>
        </w:rPr>
      </w:pPr>
      <w:bookmarkStart w:id="21" w:name="_Toc64025901"/>
      <w:r w:rsidRPr="00711CC4">
        <w:rPr>
          <w:rFonts w:ascii="Arial" w:hAnsi="Arial" w:cs="Arial"/>
          <w:b/>
          <w:bCs/>
          <w:color w:val="000000" w:themeColor="text1"/>
        </w:rPr>
        <w:t xml:space="preserve">Figura </w:t>
      </w:r>
      <w:r w:rsidR="00242F8D">
        <w:rPr>
          <w:rFonts w:ascii="Arial" w:hAnsi="Arial" w:cs="Arial"/>
          <w:b/>
          <w:bCs/>
          <w:color w:val="000000" w:themeColor="text1"/>
        </w:rPr>
        <w:t>1</w:t>
      </w:r>
      <w:r w:rsidRPr="00711CC4">
        <w:rPr>
          <w:rFonts w:ascii="Arial" w:hAnsi="Arial" w:cs="Arial"/>
          <w:b/>
          <w:bCs/>
          <w:color w:val="000000" w:themeColor="text1"/>
        </w:rPr>
        <w:t>. Registro de temperaturas  mensuales de máximas y mínimas del 2018 al  2019</w:t>
      </w:r>
      <w:bookmarkEnd w:id="21"/>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bookmarkStart w:id="22" w:name="_Toc65306573"/>
      <w:r w:rsidRPr="00711CC4">
        <w:rPr>
          <w:rFonts w:ascii="Arial" w:eastAsiaTheme="majorEastAsia" w:hAnsi="Arial" w:cs="Arial"/>
          <w:b/>
          <w:bCs/>
          <w:color w:val="000000" w:themeColor="text1"/>
        </w:rPr>
        <w:t>Humedad relativa del suelo a 30 cm de profundidad</w:t>
      </w:r>
      <w:bookmarkEnd w:id="22"/>
    </w:p>
    <w:p w:rsidR="00B67794" w:rsidRPr="00711CC4" w:rsidRDefault="00B67794" w:rsidP="00032094">
      <w:pPr>
        <w:keepNext/>
        <w:keepLines/>
        <w:spacing w:before="200" w:after="0" w:line="360" w:lineRule="auto"/>
        <w:jc w:val="both"/>
        <w:outlineLvl w:val="3"/>
        <w:rPr>
          <w:rFonts w:ascii="Arial" w:hAnsi="Arial" w:cs="Arial"/>
          <w:i/>
        </w:rPr>
      </w:pPr>
    </w:p>
    <w:p w:rsidR="00B67794" w:rsidRPr="00711CC4" w:rsidRDefault="00242F8D" w:rsidP="00032094">
      <w:pPr>
        <w:spacing w:line="360" w:lineRule="auto"/>
        <w:jc w:val="both"/>
        <w:rPr>
          <w:rFonts w:ascii="Arial" w:hAnsi="Arial" w:cs="Arial"/>
        </w:rPr>
      </w:pPr>
      <w:r>
        <w:rPr>
          <w:rFonts w:ascii="Arial" w:hAnsi="Arial" w:cs="Arial"/>
        </w:rPr>
        <w:t>La figura 2</w:t>
      </w:r>
      <w:r w:rsidR="00B67794" w:rsidRPr="00711CC4">
        <w:rPr>
          <w:rFonts w:ascii="Arial" w:hAnsi="Arial" w:cs="Arial"/>
        </w:rPr>
        <w:t xml:space="preserve"> muestra la humedad  del suelo para 30 cm de profundidad, se registraron durante el ciclo fenológico del cultivo mediante el equipo (FDR </w:t>
      </w:r>
      <w:proofErr w:type="spellStart"/>
      <w:r w:rsidR="00B67794" w:rsidRPr="00711CC4">
        <w:rPr>
          <w:rFonts w:ascii="Arial" w:hAnsi="Arial" w:cs="Arial"/>
        </w:rPr>
        <w:t>Portatil</w:t>
      </w:r>
      <w:proofErr w:type="spellEnd"/>
      <w:r w:rsidR="00B67794" w:rsidRPr="00711CC4">
        <w:rPr>
          <w:rFonts w:ascii="Arial" w:hAnsi="Arial" w:cs="Arial"/>
        </w:rPr>
        <w:t xml:space="preserve"> </w:t>
      </w:r>
      <w:proofErr w:type="spellStart"/>
      <w:r w:rsidR="00B67794" w:rsidRPr="00711CC4">
        <w:rPr>
          <w:rFonts w:ascii="Arial" w:hAnsi="Arial" w:cs="Arial"/>
        </w:rPr>
        <w:t>Diviner</w:t>
      </w:r>
      <w:proofErr w:type="spellEnd"/>
      <w:r w:rsidR="00B67794" w:rsidRPr="00711CC4">
        <w:rPr>
          <w:rFonts w:ascii="Arial" w:hAnsi="Arial" w:cs="Arial"/>
        </w:rPr>
        <w:t xml:space="preserve"> 2000).</w:t>
      </w:r>
    </w:p>
    <w:p w:rsidR="00B67794" w:rsidRPr="00711CC4" w:rsidRDefault="00B67794" w:rsidP="00032094">
      <w:pPr>
        <w:keepNext/>
        <w:spacing w:line="360" w:lineRule="auto"/>
        <w:jc w:val="both"/>
        <w:rPr>
          <w:rFonts w:ascii="Arial" w:hAnsi="Arial" w:cs="Arial"/>
        </w:rPr>
      </w:pPr>
      <w:r w:rsidRPr="00711CC4">
        <w:rPr>
          <w:rFonts w:ascii="Arial" w:hAnsi="Arial" w:cs="Arial"/>
          <w:noProof/>
          <w:lang w:eastAsia="es-ES"/>
        </w:rPr>
        <w:drawing>
          <wp:inline distT="0" distB="0" distL="0" distR="0" wp14:anchorId="0A0178AE" wp14:editId="757F6B92">
            <wp:extent cx="5744818" cy="2146852"/>
            <wp:effectExtent l="0" t="0" r="27940" b="2540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67794" w:rsidRPr="00711CC4" w:rsidRDefault="00B67794" w:rsidP="00242F8D">
      <w:pPr>
        <w:spacing w:line="360" w:lineRule="auto"/>
        <w:jc w:val="center"/>
        <w:rPr>
          <w:rFonts w:ascii="Arial" w:hAnsi="Arial" w:cs="Arial"/>
          <w:b/>
          <w:bCs/>
          <w:color w:val="000000" w:themeColor="text1"/>
        </w:rPr>
      </w:pPr>
      <w:bookmarkStart w:id="23" w:name="_Toc64025902"/>
      <w:r w:rsidRPr="00711CC4">
        <w:rPr>
          <w:rFonts w:ascii="Arial" w:hAnsi="Arial" w:cs="Arial"/>
          <w:b/>
          <w:bCs/>
          <w:color w:val="000000" w:themeColor="text1"/>
        </w:rPr>
        <w:t xml:space="preserve">Figura </w:t>
      </w:r>
      <w:r w:rsidR="00242F8D">
        <w:rPr>
          <w:rFonts w:ascii="Arial" w:hAnsi="Arial" w:cs="Arial"/>
          <w:b/>
          <w:bCs/>
          <w:color w:val="000000" w:themeColor="text1"/>
        </w:rPr>
        <w:t>2</w:t>
      </w:r>
      <w:r w:rsidRPr="00711CC4">
        <w:rPr>
          <w:rFonts w:ascii="Arial" w:hAnsi="Arial" w:cs="Arial"/>
          <w:b/>
          <w:bCs/>
          <w:color w:val="000000" w:themeColor="text1"/>
        </w:rPr>
        <w:t>. Fluctuaciones de humedad del suelo (%)</w:t>
      </w:r>
      <w:bookmarkEnd w:id="23"/>
    </w:p>
    <w:p w:rsidR="00B67794" w:rsidRPr="00711CC4" w:rsidRDefault="00B67794" w:rsidP="00032094">
      <w:pPr>
        <w:spacing w:line="360" w:lineRule="auto"/>
        <w:jc w:val="both"/>
        <w:rPr>
          <w:rFonts w:ascii="Arial" w:hAnsi="Arial" w:cs="Arial"/>
        </w:rPr>
      </w:pPr>
      <w:r w:rsidRPr="00711CC4">
        <w:rPr>
          <w:rFonts w:ascii="Arial" w:hAnsi="Arial" w:cs="Arial"/>
        </w:rPr>
        <w:t xml:space="preserve">La humedad del suelo en la gestión agrícola 2018-2019 a una profundidad de 30 cm se registró una máxima en la cuarta semana del mes Diciembre con un valor de 40,58%, debido a las precipitaciones presentes en este mes siendo constantes hasta  segunda semana del mes de Febrero con un promedio de 37,17% y con una mínima registrada  a la primera semana del mes Diciembre  y la segunda semana del mes de Marzo con valores de  5.98% y 12,45% , a causa del cese de las precipitaciones. </w:t>
      </w:r>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bookmarkStart w:id="24" w:name="_Toc65306574"/>
      <w:r w:rsidRPr="00711CC4">
        <w:rPr>
          <w:rFonts w:ascii="Arial" w:eastAsiaTheme="majorEastAsia" w:hAnsi="Arial" w:cs="Arial"/>
          <w:b/>
          <w:bCs/>
          <w:color w:val="000000" w:themeColor="text1"/>
        </w:rPr>
        <w:lastRenderedPageBreak/>
        <w:t>Precipitación diaria</w:t>
      </w:r>
      <w:bookmarkEnd w:id="24"/>
      <w:r w:rsidRPr="00711CC4">
        <w:rPr>
          <w:rFonts w:ascii="Arial" w:eastAsiaTheme="majorEastAsia" w:hAnsi="Arial" w:cs="Arial"/>
          <w:b/>
          <w:bCs/>
          <w:color w:val="000000" w:themeColor="text1"/>
        </w:rPr>
        <w:t xml:space="preserve"> </w:t>
      </w:r>
    </w:p>
    <w:p w:rsidR="00B67794" w:rsidRPr="00711CC4" w:rsidRDefault="00B67794" w:rsidP="00032094">
      <w:pPr>
        <w:spacing w:line="360" w:lineRule="auto"/>
        <w:jc w:val="both"/>
        <w:rPr>
          <w:rFonts w:ascii="Arial" w:hAnsi="Arial" w:cs="Arial"/>
        </w:rPr>
      </w:pPr>
    </w:p>
    <w:p w:rsidR="00B67794" w:rsidRPr="00711CC4" w:rsidRDefault="00242F8D" w:rsidP="00032094">
      <w:pPr>
        <w:spacing w:line="360" w:lineRule="auto"/>
        <w:jc w:val="both"/>
        <w:rPr>
          <w:rFonts w:ascii="Arial" w:hAnsi="Arial" w:cs="Arial"/>
        </w:rPr>
      </w:pPr>
      <w:r>
        <w:rPr>
          <w:rFonts w:ascii="Arial" w:hAnsi="Arial" w:cs="Arial"/>
        </w:rPr>
        <w:t xml:space="preserve">La </w:t>
      </w:r>
      <w:r w:rsidR="00B67794" w:rsidRPr="00711CC4">
        <w:rPr>
          <w:rFonts w:ascii="Arial" w:hAnsi="Arial" w:cs="Arial"/>
        </w:rPr>
        <w:t>precipitación diaria registrada  durante el ciclo fenológico de la quinua la que de manera irregular  alcanzó   precipitaciones menores de 0.0 mm/día en los meses de octubre, noviembre y primeras semanas del mes diciembre y a partir de la segunda semana del mes de diciembre se registraron fuertes precipitaciones  llegando a una máxima de 42,1 mm/día, de manera que la excesiva humedad favoreció al desarrollo del hongo. Cabe mencionar que  en la época de lluvia, se registraron granizadas frecuentes.</w:t>
      </w:r>
    </w:p>
    <w:p w:rsidR="00B67794" w:rsidRPr="00711CC4" w:rsidRDefault="00B67794" w:rsidP="00032094">
      <w:pPr>
        <w:keepNext/>
        <w:keepLines/>
        <w:numPr>
          <w:ilvl w:val="1"/>
          <w:numId w:val="25"/>
        </w:numPr>
        <w:spacing w:before="200" w:after="0" w:line="360" w:lineRule="auto"/>
        <w:jc w:val="both"/>
        <w:outlineLvl w:val="1"/>
        <w:rPr>
          <w:rFonts w:ascii="Arial" w:eastAsiaTheme="majorEastAsia" w:hAnsi="Arial" w:cs="Arial"/>
          <w:b/>
          <w:bCs/>
          <w:color w:val="000000" w:themeColor="text1"/>
        </w:rPr>
      </w:pPr>
      <w:bookmarkStart w:id="25" w:name="_Toc65306575"/>
      <w:r w:rsidRPr="00711CC4">
        <w:rPr>
          <w:rFonts w:ascii="Arial" w:eastAsiaTheme="majorEastAsia" w:hAnsi="Arial" w:cs="Arial"/>
          <w:b/>
          <w:bCs/>
          <w:color w:val="000000" w:themeColor="text1"/>
        </w:rPr>
        <w:t>Variable en laboratorio</w:t>
      </w:r>
      <w:bookmarkEnd w:id="25"/>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bookmarkStart w:id="26" w:name="_Toc65306576"/>
      <w:r w:rsidRPr="00711CC4">
        <w:rPr>
          <w:rFonts w:ascii="Arial" w:eastAsiaTheme="majorEastAsia" w:hAnsi="Arial" w:cs="Arial"/>
          <w:b/>
          <w:bCs/>
          <w:color w:val="000000" w:themeColor="text1"/>
        </w:rPr>
        <w:t>Porcentaje de germinación</w:t>
      </w:r>
      <w:bookmarkEnd w:id="26"/>
      <w:r w:rsidRPr="00711CC4">
        <w:rPr>
          <w:rFonts w:ascii="Arial" w:eastAsiaTheme="majorEastAsia" w:hAnsi="Arial" w:cs="Arial"/>
          <w:b/>
          <w:bCs/>
          <w:color w:val="000000" w:themeColor="text1"/>
        </w:rPr>
        <w:t xml:space="preserve"> </w:t>
      </w:r>
    </w:p>
    <w:p w:rsidR="00B67794" w:rsidRPr="00711CC4" w:rsidRDefault="00B67794" w:rsidP="00032094">
      <w:pPr>
        <w:spacing w:line="360" w:lineRule="auto"/>
        <w:jc w:val="both"/>
        <w:rPr>
          <w:rFonts w:ascii="Arial" w:hAnsi="Arial" w:cs="Arial"/>
        </w:rPr>
      </w:pPr>
    </w:p>
    <w:p w:rsidR="00B67794" w:rsidRPr="00711CC4" w:rsidRDefault="00242F8D" w:rsidP="00032094">
      <w:pPr>
        <w:spacing w:line="360" w:lineRule="auto"/>
        <w:jc w:val="both"/>
        <w:rPr>
          <w:rFonts w:ascii="Arial" w:hAnsi="Arial" w:cs="Arial"/>
        </w:rPr>
      </w:pPr>
      <w:r>
        <w:rPr>
          <w:rFonts w:ascii="Arial" w:hAnsi="Arial" w:cs="Arial"/>
        </w:rPr>
        <w:t>En el cuadro 2</w:t>
      </w:r>
      <w:r w:rsidR="00B67794" w:rsidRPr="00711CC4">
        <w:rPr>
          <w:rFonts w:ascii="Arial" w:hAnsi="Arial" w:cs="Arial"/>
        </w:rPr>
        <w:t xml:space="preserve">, se presenta el análisis de varianza  donde se muestra que el valor del </w:t>
      </w:r>
      <w:proofErr w:type="spellStart"/>
      <w:r w:rsidR="00B67794" w:rsidRPr="00711CC4">
        <w:rPr>
          <w:rFonts w:ascii="Arial" w:hAnsi="Arial" w:cs="Arial"/>
        </w:rPr>
        <w:t>Fc</w:t>
      </w:r>
      <w:proofErr w:type="spellEnd"/>
      <w:r w:rsidR="00B67794" w:rsidRPr="00711CC4">
        <w:rPr>
          <w:rFonts w:ascii="Arial" w:hAnsi="Arial" w:cs="Arial"/>
        </w:rPr>
        <w:t xml:space="preserve"> (calculado) es menor al Ft (tabulado) con el grado de confiabilidad al 0.05%, donde se determina que estadísticamente no existen diferencias  significativas entre los tratamientos para el porcentaje de germinación.</w:t>
      </w:r>
    </w:p>
    <w:p w:rsidR="00B67794" w:rsidRPr="00711CC4" w:rsidRDefault="00B67794" w:rsidP="00032094">
      <w:pPr>
        <w:keepNext/>
        <w:spacing w:line="360" w:lineRule="auto"/>
        <w:jc w:val="both"/>
        <w:rPr>
          <w:rFonts w:ascii="Arial" w:hAnsi="Arial" w:cs="Arial"/>
          <w:b/>
          <w:bCs/>
          <w:color w:val="000000" w:themeColor="text1"/>
        </w:rPr>
      </w:pPr>
      <w:bookmarkStart w:id="27" w:name="_Toc57032773"/>
      <w:bookmarkStart w:id="28" w:name="_Toc57857652"/>
      <w:r w:rsidRPr="00711CC4">
        <w:rPr>
          <w:rFonts w:ascii="Arial" w:hAnsi="Arial" w:cs="Arial"/>
          <w:b/>
          <w:bCs/>
          <w:color w:val="000000" w:themeColor="text1"/>
        </w:rPr>
        <w:t xml:space="preserve">Cuadro  </w:t>
      </w:r>
      <w:r w:rsidR="00242F8D">
        <w:rPr>
          <w:rFonts w:ascii="Arial" w:hAnsi="Arial" w:cs="Arial"/>
          <w:b/>
          <w:bCs/>
          <w:color w:val="000000" w:themeColor="text1"/>
        </w:rPr>
        <w:t>2</w:t>
      </w:r>
      <w:r w:rsidRPr="00711CC4">
        <w:rPr>
          <w:rFonts w:ascii="Arial" w:hAnsi="Arial" w:cs="Arial"/>
          <w:b/>
          <w:bCs/>
          <w:color w:val="000000" w:themeColor="text1"/>
        </w:rPr>
        <w:t>.  Análisis de varianza del porcentaje de germinación para los genotipos  de la generación M3</w:t>
      </w:r>
      <w:bookmarkEnd w:id="27"/>
      <w:bookmarkEnd w:id="28"/>
    </w:p>
    <w:tbl>
      <w:tblPr>
        <w:tblW w:w="8027" w:type="dxa"/>
        <w:jc w:val="center"/>
        <w:tblCellMar>
          <w:left w:w="70" w:type="dxa"/>
          <w:right w:w="70" w:type="dxa"/>
        </w:tblCellMar>
        <w:tblLook w:val="04A0" w:firstRow="1" w:lastRow="0" w:firstColumn="1" w:lastColumn="0" w:noHBand="0" w:noVBand="1"/>
      </w:tblPr>
      <w:tblGrid>
        <w:gridCol w:w="2536"/>
        <w:gridCol w:w="527"/>
        <w:gridCol w:w="1045"/>
        <w:gridCol w:w="1104"/>
        <w:gridCol w:w="1104"/>
        <w:gridCol w:w="1104"/>
        <w:gridCol w:w="607"/>
      </w:tblGrid>
      <w:tr w:rsidR="00B67794" w:rsidRPr="00711CC4" w:rsidTr="00B67794">
        <w:trPr>
          <w:trHeight w:val="455"/>
          <w:jc w:val="center"/>
        </w:trPr>
        <w:tc>
          <w:tcPr>
            <w:tcW w:w="2536"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F.V</w:t>
            </w:r>
          </w:p>
        </w:tc>
        <w:tc>
          <w:tcPr>
            <w:tcW w:w="527"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xml:space="preserve">G.L </w:t>
            </w:r>
          </w:p>
        </w:tc>
        <w:tc>
          <w:tcPr>
            <w:tcW w:w="1045"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S.C</w:t>
            </w:r>
          </w:p>
        </w:tc>
        <w:tc>
          <w:tcPr>
            <w:tcW w:w="1104"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C.M.</w:t>
            </w:r>
          </w:p>
        </w:tc>
        <w:tc>
          <w:tcPr>
            <w:tcW w:w="1104"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Fc</w:t>
            </w:r>
            <w:proofErr w:type="spellEnd"/>
          </w:p>
        </w:tc>
        <w:tc>
          <w:tcPr>
            <w:tcW w:w="1104"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Ft (0,05)</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493"/>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527"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045"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107,777</w:t>
            </w:r>
          </w:p>
        </w:tc>
        <w:tc>
          <w:tcPr>
            <w:tcW w:w="1104"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35,926</w:t>
            </w:r>
          </w:p>
        </w:tc>
        <w:tc>
          <w:tcPr>
            <w:tcW w:w="1104"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2,21</w:t>
            </w:r>
          </w:p>
        </w:tc>
        <w:tc>
          <w:tcPr>
            <w:tcW w:w="1104"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0,14</w:t>
            </w:r>
          </w:p>
        </w:tc>
        <w:tc>
          <w:tcPr>
            <w:tcW w:w="607"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N.S.</w:t>
            </w:r>
          </w:p>
        </w:tc>
      </w:tr>
      <w:tr w:rsidR="00B67794" w:rsidRPr="00711CC4" w:rsidTr="00B67794">
        <w:trPr>
          <w:trHeight w:val="493"/>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527"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12</w:t>
            </w:r>
          </w:p>
        </w:tc>
        <w:tc>
          <w:tcPr>
            <w:tcW w:w="1045"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195,203</w:t>
            </w:r>
          </w:p>
        </w:tc>
        <w:tc>
          <w:tcPr>
            <w:tcW w:w="1104"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16,267</w:t>
            </w:r>
          </w:p>
        </w:tc>
        <w:tc>
          <w:tcPr>
            <w:tcW w:w="1104" w:type="dxa"/>
            <w:tcBorders>
              <w:top w:val="nil"/>
              <w:left w:val="nil"/>
              <w:bottom w:val="single" w:sz="4" w:space="0" w:color="auto"/>
              <w:right w:val="single" w:sz="4" w:space="0" w:color="auto"/>
            </w:tcBorders>
            <w:shd w:val="clear" w:color="auto" w:fill="B8CCE4" w:themeFill="accent1" w:themeFillTint="66"/>
            <w:noWrap/>
            <w:vAlign w:val="bottom"/>
            <w:hideMark/>
          </w:tcPr>
          <w:p w:rsidR="00B67794" w:rsidRPr="00711CC4" w:rsidRDefault="00B67794" w:rsidP="00032094">
            <w:pPr>
              <w:spacing w:after="0" w:line="360" w:lineRule="auto"/>
              <w:jc w:val="both"/>
              <w:rPr>
                <w:rFonts w:ascii="Arial" w:eastAsia="Times New Roman" w:hAnsi="Arial" w:cs="Arial"/>
                <w:color w:val="FFFFFF" w:themeColor="background1"/>
                <w:lang w:eastAsia="es-ES"/>
              </w:rPr>
            </w:pPr>
            <w:r w:rsidRPr="00711CC4">
              <w:rPr>
                <w:rFonts w:ascii="Arial" w:eastAsia="Times New Roman" w:hAnsi="Arial" w:cs="Arial"/>
                <w:color w:val="FFFFFF" w:themeColor="background1"/>
                <w:lang w:eastAsia="es-ES"/>
              </w:rPr>
              <w:t> </w:t>
            </w:r>
          </w:p>
        </w:tc>
        <w:tc>
          <w:tcPr>
            <w:tcW w:w="1104" w:type="dxa"/>
            <w:tcBorders>
              <w:top w:val="nil"/>
              <w:left w:val="nil"/>
              <w:bottom w:val="single" w:sz="4" w:space="0" w:color="auto"/>
              <w:right w:val="single" w:sz="4" w:space="0" w:color="auto"/>
            </w:tcBorders>
            <w:shd w:val="clear" w:color="auto" w:fill="B8CCE4" w:themeFill="accent1" w:themeFillTint="66"/>
            <w:noWrap/>
            <w:vAlign w:val="bottom"/>
            <w:hideMark/>
          </w:tcPr>
          <w:p w:rsidR="00B67794" w:rsidRPr="00711CC4" w:rsidRDefault="00B67794" w:rsidP="00032094">
            <w:pPr>
              <w:spacing w:after="0" w:line="360" w:lineRule="auto"/>
              <w:jc w:val="both"/>
              <w:rPr>
                <w:rFonts w:ascii="Arial" w:eastAsia="Times New Roman" w:hAnsi="Arial" w:cs="Arial"/>
                <w:color w:val="FFFFFF" w:themeColor="background1"/>
                <w:lang w:eastAsia="es-ES"/>
              </w:rPr>
            </w:pPr>
            <w:r w:rsidRPr="00711CC4">
              <w:rPr>
                <w:rFonts w:ascii="Arial" w:eastAsia="Times New Roman" w:hAnsi="Arial" w:cs="Arial"/>
                <w:color w:val="FFFFFF" w:themeColor="background1"/>
                <w:lang w:eastAsia="es-ES"/>
              </w:rPr>
              <w:t> </w:t>
            </w:r>
          </w:p>
        </w:tc>
        <w:tc>
          <w:tcPr>
            <w:tcW w:w="607"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493"/>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lastRenderedPageBreak/>
              <w:t>Total</w:t>
            </w:r>
          </w:p>
        </w:tc>
        <w:tc>
          <w:tcPr>
            <w:tcW w:w="527"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16</w:t>
            </w:r>
          </w:p>
        </w:tc>
        <w:tc>
          <w:tcPr>
            <w:tcW w:w="1045"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302,98</w:t>
            </w:r>
          </w:p>
        </w:tc>
        <w:tc>
          <w:tcPr>
            <w:tcW w:w="1104" w:type="dxa"/>
            <w:tcBorders>
              <w:top w:val="nil"/>
              <w:left w:val="nil"/>
              <w:bottom w:val="single" w:sz="4" w:space="0" w:color="auto"/>
              <w:right w:val="single" w:sz="4" w:space="0" w:color="auto"/>
            </w:tcBorders>
            <w:shd w:val="clear" w:color="auto" w:fill="B8CCE4" w:themeFill="accent1" w:themeFillTint="66"/>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104" w:type="dxa"/>
            <w:tcBorders>
              <w:top w:val="nil"/>
              <w:left w:val="nil"/>
              <w:bottom w:val="single" w:sz="4" w:space="0" w:color="auto"/>
              <w:right w:val="single" w:sz="4" w:space="0" w:color="auto"/>
            </w:tcBorders>
            <w:shd w:val="clear" w:color="auto" w:fill="B8CCE4" w:themeFill="accent1" w:themeFillTint="66"/>
            <w:noWrap/>
            <w:vAlign w:val="bottom"/>
            <w:hideMark/>
          </w:tcPr>
          <w:p w:rsidR="00B67794" w:rsidRPr="00711CC4" w:rsidRDefault="00B67794" w:rsidP="00032094">
            <w:pPr>
              <w:spacing w:after="0" w:line="360" w:lineRule="auto"/>
              <w:jc w:val="both"/>
              <w:rPr>
                <w:rFonts w:ascii="Arial" w:eastAsia="Times New Roman" w:hAnsi="Arial" w:cs="Arial"/>
                <w:color w:val="FFFFFF" w:themeColor="background1"/>
                <w:lang w:eastAsia="es-ES"/>
              </w:rPr>
            </w:pPr>
            <w:r w:rsidRPr="00711CC4">
              <w:rPr>
                <w:rFonts w:ascii="Arial" w:eastAsia="Times New Roman" w:hAnsi="Arial" w:cs="Arial"/>
                <w:color w:val="FFFFFF" w:themeColor="background1"/>
                <w:lang w:eastAsia="es-ES"/>
              </w:rPr>
              <w:t> </w:t>
            </w:r>
          </w:p>
        </w:tc>
        <w:tc>
          <w:tcPr>
            <w:tcW w:w="1104" w:type="dxa"/>
            <w:tcBorders>
              <w:top w:val="nil"/>
              <w:left w:val="nil"/>
              <w:bottom w:val="single" w:sz="4" w:space="0" w:color="auto"/>
              <w:right w:val="single" w:sz="4" w:space="0" w:color="auto"/>
            </w:tcBorders>
            <w:shd w:val="clear" w:color="auto" w:fill="B8CCE4" w:themeFill="accent1" w:themeFillTint="66"/>
            <w:noWrap/>
            <w:vAlign w:val="bottom"/>
            <w:hideMark/>
          </w:tcPr>
          <w:p w:rsidR="00B67794" w:rsidRPr="00711CC4" w:rsidRDefault="00B67794" w:rsidP="00032094">
            <w:pPr>
              <w:spacing w:after="0" w:line="360" w:lineRule="auto"/>
              <w:jc w:val="both"/>
              <w:rPr>
                <w:rFonts w:ascii="Arial" w:eastAsia="Times New Roman" w:hAnsi="Arial" w:cs="Arial"/>
                <w:color w:val="FFFFFF" w:themeColor="background1"/>
                <w:lang w:eastAsia="es-ES"/>
              </w:rPr>
            </w:pPr>
            <w:r w:rsidRPr="00711CC4">
              <w:rPr>
                <w:rFonts w:ascii="Arial" w:eastAsia="Times New Roman" w:hAnsi="Arial" w:cs="Arial"/>
                <w:color w:val="FFFFFF" w:themeColor="background1"/>
                <w:lang w:eastAsia="es-ES"/>
              </w:rPr>
              <w:t> </w:t>
            </w:r>
          </w:p>
        </w:tc>
        <w:tc>
          <w:tcPr>
            <w:tcW w:w="607"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line="360" w:lineRule="auto"/>
        <w:jc w:val="both"/>
        <w:rPr>
          <w:rFonts w:ascii="Arial" w:hAnsi="Arial" w:cs="Arial"/>
        </w:rPr>
      </w:pPr>
      <w:r w:rsidRPr="00711CC4">
        <w:rPr>
          <w:rFonts w:ascii="Arial" w:hAnsi="Arial" w:cs="Arial"/>
        </w:rPr>
        <w:t xml:space="preserve">FV=Fuente de variación        GL=Grados de libertad     NS= No significativo    </w:t>
      </w:r>
    </w:p>
    <w:p w:rsidR="00B67794" w:rsidRPr="00711CC4" w:rsidRDefault="00B67794" w:rsidP="00032094">
      <w:pPr>
        <w:spacing w:line="360" w:lineRule="auto"/>
        <w:jc w:val="both"/>
        <w:rPr>
          <w:rFonts w:ascii="Arial" w:hAnsi="Arial" w:cs="Arial"/>
        </w:rPr>
      </w:pPr>
      <w:r w:rsidRPr="00711CC4">
        <w:rPr>
          <w:rFonts w:ascii="Arial" w:hAnsi="Arial" w:cs="Arial"/>
        </w:rPr>
        <w:t>De acuerdo a los resultados del análisis de varianza del porcentaje de germinación</w:t>
      </w:r>
      <w:r w:rsidR="00242F8D">
        <w:rPr>
          <w:rFonts w:ascii="Arial" w:hAnsi="Arial" w:cs="Arial"/>
        </w:rPr>
        <w:t xml:space="preserve"> que se presentan en el cuadro 2</w:t>
      </w:r>
      <w:r w:rsidRPr="00711CC4">
        <w:rPr>
          <w:rFonts w:ascii="Arial" w:hAnsi="Arial" w:cs="Arial"/>
        </w:rPr>
        <w:t xml:space="preserve">, se llegó a determinar  que la germinación es homogénea entre  el testigo y los genotipos, por lo que se asume que los genotipos evaluados no registran cambios a nivel de la viabilidad de la semilla en la generación M3. </w:t>
      </w:r>
    </w:p>
    <w:p w:rsidR="00B67794" w:rsidRPr="00711CC4" w:rsidRDefault="00B67794" w:rsidP="00032094">
      <w:pPr>
        <w:spacing w:line="360" w:lineRule="auto"/>
        <w:jc w:val="both"/>
        <w:rPr>
          <w:rFonts w:ascii="Arial" w:hAnsi="Arial" w:cs="Arial"/>
        </w:rPr>
      </w:pPr>
      <w:r w:rsidRPr="00711CC4">
        <w:rPr>
          <w:rFonts w:ascii="Arial" w:hAnsi="Arial" w:cs="Arial"/>
        </w:rPr>
        <w:t xml:space="preserve">El  coeficiente de variación fue de  4,98%, lo que indica que los resultados obtenidos son confiables.  </w:t>
      </w:r>
    </w:p>
    <w:p w:rsidR="00B67794" w:rsidRPr="00711CC4" w:rsidRDefault="00B67794" w:rsidP="00032094">
      <w:pPr>
        <w:spacing w:line="360" w:lineRule="auto"/>
        <w:jc w:val="both"/>
        <w:rPr>
          <w:rFonts w:ascii="Arial" w:hAnsi="Arial" w:cs="Arial"/>
        </w:rPr>
      </w:pPr>
      <w:r w:rsidRPr="00711CC4">
        <w:rPr>
          <w:rFonts w:ascii="Arial" w:hAnsi="Arial" w:cs="Arial"/>
        </w:rPr>
        <w:t>Estudios realizados por Quinteros en 2012  menciona que la  dosis de radiación no tuvo efecto en el porcentaje de germinación  en la generación M1,  donde  la variedad Real Negra obtuvo el 97, 63% de germinación.  Del mismo modo la radiación realizada en la generación Mo  no influyó  de manera significativa para  la generación M3 del presente trabajo.</w:t>
      </w:r>
    </w:p>
    <w:p w:rsidR="00B67794" w:rsidRPr="00711CC4" w:rsidRDefault="00B67794" w:rsidP="00032094">
      <w:pPr>
        <w:keepNext/>
        <w:keepLines/>
        <w:numPr>
          <w:ilvl w:val="1"/>
          <w:numId w:val="25"/>
        </w:numPr>
        <w:spacing w:before="200" w:after="0" w:line="360" w:lineRule="auto"/>
        <w:jc w:val="both"/>
        <w:outlineLvl w:val="1"/>
        <w:rPr>
          <w:rFonts w:ascii="Arial" w:eastAsiaTheme="majorEastAsia" w:hAnsi="Arial" w:cs="Arial"/>
          <w:b/>
          <w:bCs/>
          <w:color w:val="000000" w:themeColor="text1"/>
        </w:rPr>
      </w:pPr>
      <w:bookmarkStart w:id="29" w:name="_Toc47800895"/>
      <w:bookmarkStart w:id="30" w:name="_Toc65306577"/>
      <w:r w:rsidRPr="00711CC4">
        <w:rPr>
          <w:rFonts w:ascii="Arial" w:eastAsiaTheme="majorEastAsia" w:hAnsi="Arial" w:cs="Arial"/>
          <w:b/>
          <w:bCs/>
          <w:color w:val="000000" w:themeColor="text1"/>
        </w:rPr>
        <w:t>Variables fenológicas</w:t>
      </w:r>
      <w:bookmarkEnd w:id="29"/>
      <w:bookmarkEnd w:id="30"/>
      <w:r w:rsidRPr="00711CC4">
        <w:rPr>
          <w:rFonts w:ascii="Arial" w:eastAsiaTheme="majorEastAsia" w:hAnsi="Arial" w:cs="Arial"/>
          <w:b/>
          <w:bCs/>
          <w:color w:val="000000" w:themeColor="text1"/>
        </w:rPr>
        <w:t xml:space="preserve"> </w:t>
      </w:r>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bookmarkStart w:id="31" w:name="_Toc65306578"/>
      <w:r w:rsidRPr="00711CC4">
        <w:rPr>
          <w:rFonts w:ascii="Arial" w:eastAsiaTheme="majorEastAsia" w:hAnsi="Arial" w:cs="Arial"/>
          <w:b/>
          <w:bCs/>
          <w:color w:val="000000" w:themeColor="text1"/>
        </w:rPr>
        <w:t>Días  a la emergencia</w:t>
      </w:r>
      <w:bookmarkEnd w:id="31"/>
      <w:r w:rsidRPr="00711CC4">
        <w:rPr>
          <w:rFonts w:ascii="Arial" w:eastAsiaTheme="majorEastAsia" w:hAnsi="Arial" w:cs="Arial"/>
          <w:b/>
          <w:bCs/>
          <w:color w:val="000000" w:themeColor="text1"/>
        </w:rPr>
        <w:t xml:space="preserve"> </w:t>
      </w:r>
    </w:p>
    <w:p w:rsidR="00B67794" w:rsidRPr="00711CC4" w:rsidRDefault="00B67794" w:rsidP="00032094">
      <w:pPr>
        <w:spacing w:line="360" w:lineRule="auto"/>
        <w:jc w:val="both"/>
        <w:rPr>
          <w:rFonts w:ascii="Arial" w:hAnsi="Arial" w:cs="Arial"/>
        </w:rPr>
      </w:pPr>
    </w:p>
    <w:p w:rsidR="00B67794" w:rsidRPr="00711CC4" w:rsidRDefault="00242F8D" w:rsidP="00032094">
      <w:pPr>
        <w:spacing w:line="360" w:lineRule="auto"/>
        <w:jc w:val="both"/>
        <w:rPr>
          <w:rFonts w:ascii="Arial" w:hAnsi="Arial" w:cs="Arial"/>
        </w:rPr>
      </w:pPr>
      <w:r>
        <w:rPr>
          <w:rFonts w:ascii="Arial" w:hAnsi="Arial" w:cs="Arial"/>
        </w:rPr>
        <w:t>En el cuadro 3</w:t>
      </w:r>
      <w:r w:rsidR="00B67794" w:rsidRPr="00711CC4">
        <w:rPr>
          <w:rFonts w:ascii="Arial" w:hAnsi="Arial" w:cs="Arial"/>
        </w:rPr>
        <w:t>, se presenta el análisis de varianza  para el porcentaje de emergencia en campo,  donde se muestra que estadísticamente no existen diferencias significativas entre bloques, es decir que la pendiente no influyó en la emergencia. Por otro lado para tratamientos se muestra que no existen diferencias significativas.</w:t>
      </w:r>
    </w:p>
    <w:p w:rsidR="00B67794" w:rsidRPr="00711CC4" w:rsidRDefault="00B67794" w:rsidP="00242F8D">
      <w:pPr>
        <w:keepNext/>
        <w:spacing w:line="360" w:lineRule="auto"/>
        <w:jc w:val="center"/>
        <w:rPr>
          <w:rFonts w:ascii="Arial" w:hAnsi="Arial" w:cs="Arial"/>
          <w:b/>
          <w:bCs/>
          <w:color w:val="000000" w:themeColor="text1"/>
        </w:rPr>
      </w:pPr>
      <w:bookmarkStart w:id="32" w:name="_Toc57032774"/>
      <w:bookmarkStart w:id="33" w:name="_Toc57857653"/>
      <w:r w:rsidRPr="00711CC4">
        <w:rPr>
          <w:rFonts w:ascii="Arial" w:hAnsi="Arial" w:cs="Arial"/>
          <w:b/>
          <w:bCs/>
          <w:color w:val="000000" w:themeColor="text1"/>
        </w:rPr>
        <w:t xml:space="preserve">Cuadro  </w:t>
      </w:r>
      <w:r w:rsidR="00242F8D">
        <w:rPr>
          <w:rFonts w:ascii="Arial" w:hAnsi="Arial" w:cs="Arial"/>
          <w:b/>
          <w:bCs/>
          <w:color w:val="000000" w:themeColor="text1"/>
        </w:rPr>
        <w:t>3</w:t>
      </w:r>
      <w:r w:rsidRPr="00711CC4">
        <w:rPr>
          <w:rFonts w:ascii="Arial" w:hAnsi="Arial" w:cs="Arial"/>
          <w:b/>
          <w:bCs/>
          <w:color w:val="000000" w:themeColor="text1"/>
        </w:rPr>
        <w:t>. Análisis de varianza para número de  días a la  emergencia en los genotipos de la generación M3</w:t>
      </w:r>
      <w:bookmarkEnd w:id="32"/>
      <w:bookmarkEnd w:id="33"/>
    </w:p>
    <w:tbl>
      <w:tblPr>
        <w:tblW w:w="8589" w:type="dxa"/>
        <w:jc w:val="center"/>
        <w:tblInd w:w="55" w:type="dxa"/>
        <w:tblCellMar>
          <w:left w:w="70" w:type="dxa"/>
          <w:right w:w="70" w:type="dxa"/>
        </w:tblCellMar>
        <w:tblLook w:val="04A0" w:firstRow="1" w:lastRow="0" w:firstColumn="1" w:lastColumn="0" w:noHBand="0" w:noVBand="1"/>
      </w:tblPr>
      <w:tblGrid>
        <w:gridCol w:w="2453"/>
        <w:gridCol w:w="851"/>
        <w:gridCol w:w="1559"/>
        <w:gridCol w:w="1417"/>
        <w:gridCol w:w="422"/>
        <w:gridCol w:w="1039"/>
        <w:gridCol w:w="848"/>
      </w:tblGrid>
      <w:tr w:rsidR="00B67794" w:rsidRPr="00711CC4" w:rsidTr="00B67794">
        <w:trPr>
          <w:trHeight w:val="357"/>
          <w:jc w:val="center"/>
        </w:trPr>
        <w:tc>
          <w:tcPr>
            <w:tcW w:w="2453"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F.V</w:t>
            </w:r>
          </w:p>
        </w:tc>
        <w:tc>
          <w:tcPr>
            <w:tcW w:w="851" w:type="dxa"/>
            <w:tcBorders>
              <w:top w:val="single" w:sz="4" w:space="0" w:color="auto"/>
              <w:left w:val="nil"/>
              <w:bottom w:val="single" w:sz="4" w:space="0" w:color="auto"/>
              <w:right w:val="single" w:sz="4" w:space="0" w:color="auto"/>
            </w:tcBorders>
            <w:shd w:val="clear" w:color="000000" w:fill="76933C"/>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G.L</w:t>
            </w:r>
          </w:p>
        </w:tc>
        <w:tc>
          <w:tcPr>
            <w:tcW w:w="1559" w:type="dxa"/>
            <w:tcBorders>
              <w:top w:val="single" w:sz="4" w:space="0" w:color="auto"/>
              <w:left w:val="nil"/>
              <w:bottom w:val="single" w:sz="4" w:space="0" w:color="auto"/>
              <w:right w:val="single" w:sz="4" w:space="0" w:color="auto"/>
            </w:tcBorders>
            <w:shd w:val="clear" w:color="000000" w:fill="76933C"/>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S.C</w:t>
            </w:r>
          </w:p>
        </w:tc>
        <w:tc>
          <w:tcPr>
            <w:tcW w:w="1417" w:type="dxa"/>
            <w:tcBorders>
              <w:top w:val="single" w:sz="4" w:space="0" w:color="auto"/>
              <w:left w:val="nil"/>
              <w:bottom w:val="single" w:sz="4" w:space="0" w:color="auto"/>
              <w:right w:val="single" w:sz="4" w:space="0" w:color="auto"/>
            </w:tcBorders>
            <w:shd w:val="clear" w:color="000000" w:fill="76933C"/>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C.M</w:t>
            </w:r>
          </w:p>
        </w:tc>
        <w:tc>
          <w:tcPr>
            <w:tcW w:w="422" w:type="dxa"/>
            <w:tcBorders>
              <w:top w:val="single" w:sz="4" w:space="0" w:color="auto"/>
              <w:left w:val="nil"/>
              <w:bottom w:val="single" w:sz="4" w:space="0" w:color="auto"/>
              <w:right w:val="single" w:sz="4" w:space="0" w:color="auto"/>
            </w:tcBorders>
            <w:shd w:val="clear" w:color="000000" w:fill="76933C"/>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Fc</w:t>
            </w:r>
            <w:proofErr w:type="spellEnd"/>
          </w:p>
        </w:tc>
        <w:tc>
          <w:tcPr>
            <w:tcW w:w="1039" w:type="dxa"/>
            <w:tcBorders>
              <w:top w:val="single" w:sz="4" w:space="0" w:color="auto"/>
              <w:left w:val="nil"/>
              <w:bottom w:val="single" w:sz="4" w:space="0" w:color="auto"/>
              <w:right w:val="single" w:sz="4" w:space="0" w:color="auto"/>
            </w:tcBorders>
            <w:shd w:val="clear" w:color="000000" w:fill="76933C"/>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Ft(0,05)</w:t>
            </w:r>
          </w:p>
        </w:tc>
        <w:tc>
          <w:tcPr>
            <w:tcW w:w="848" w:type="dxa"/>
            <w:tcBorders>
              <w:top w:val="single" w:sz="4" w:space="0" w:color="auto"/>
              <w:left w:val="nil"/>
              <w:bottom w:val="single" w:sz="4" w:space="0" w:color="auto"/>
              <w:right w:val="single" w:sz="4" w:space="0" w:color="auto"/>
            </w:tcBorders>
            <w:shd w:val="clear" w:color="000000" w:fill="76933C"/>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357"/>
          <w:jc w:val="center"/>
        </w:trPr>
        <w:tc>
          <w:tcPr>
            <w:tcW w:w="245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851"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559"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125,389</w:t>
            </w:r>
          </w:p>
        </w:tc>
        <w:tc>
          <w:tcPr>
            <w:tcW w:w="1417"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41,796</w:t>
            </w:r>
          </w:p>
        </w:tc>
        <w:tc>
          <w:tcPr>
            <w:tcW w:w="42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039"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0,088</w:t>
            </w:r>
          </w:p>
        </w:tc>
        <w:tc>
          <w:tcPr>
            <w:tcW w:w="848"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NS</w:t>
            </w:r>
          </w:p>
        </w:tc>
      </w:tr>
      <w:tr w:rsidR="00B67794" w:rsidRPr="00711CC4" w:rsidTr="00B67794">
        <w:trPr>
          <w:trHeight w:val="458"/>
          <w:jc w:val="center"/>
        </w:trPr>
        <w:tc>
          <w:tcPr>
            <w:tcW w:w="245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851"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559"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41,796</w:t>
            </w:r>
          </w:p>
        </w:tc>
        <w:tc>
          <w:tcPr>
            <w:tcW w:w="1417" w:type="dxa"/>
            <w:tcBorders>
              <w:top w:val="nil"/>
              <w:left w:val="nil"/>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13,932</w:t>
            </w:r>
          </w:p>
        </w:tc>
        <w:tc>
          <w:tcPr>
            <w:tcW w:w="42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w:t>
            </w:r>
          </w:p>
        </w:tc>
        <w:tc>
          <w:tcPr>
            <w:tcW w:w="1039"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0,436</w:t>
            </w:r>
          </w:p>
        </w:tc>
        <w:tc>
          <w:tcPr>
            <w:tcW w:w="848"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NS</w:t>
            </w:r>
          </w:p>
        </w:tc>
      </w:tr>
      <w:tr w:rsidR="00B67794" w:rsidRPr="00711CC4" w:rsidTr="00B67794">
        <w:trPr>
          <w:trHeight w:val="357"/>
          <w:jc w:val="center"/>
        </w:trPr>
        <w:tc>
          <w:tcPr>
            <w:tcW w:w="245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851"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559"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125,389</w:t>
            </w:r>
          </w:p>
        </w:tc>
        <w:tc>
          <w:tcPr>
            <w:tcW w:w="1417"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13,932</w:t>
            </w:r>
          </w:p>
        </w:tc>
        <w:tc>
          <w:tcPr>
            <w:tcW w:w="422"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039"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848"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357"/>
          <w:jc w:val="center"/>
        </w:trPr>
        <w:tc>
          <w:tcPr>
            <w:tcW w:w="245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851"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559"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292,574</w:t>
            </w:r>
          </w:p>
        </w:tc>
        <w:tc>
          <w:tcPr>
            <w:tcW w:w="1417"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422"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039"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848"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line="360" w:lineRule="auto"/>
        <w:jc w:val="both"/>
        <w:rPr>
          <w:rFonts w:ascii="Arial" w:hAnsi="Arial" w:cs="Arial"/>
        </w:rPr>
      </w:pPr>
      <w:r w:rsidRPr="00711CC4">
        <w:rPr>
          <w:rFonts w:ascii="Arial" w:hAnsi="Arial" w:cs="Arial"/>
        </w:rPr>
        <w:t xml:space="preserve">FV=Fuente de variación        GL=Grados de libertad     NS= No significativo    </w:t>
      </w:r>
    </w:p>
    <w:p w:rsidR="00B67794" w:rsidRPr="00711CC4" w:rsidRDefault="00B67794" w:rsidP="00032094">
      <w:pPr>
        <w:spacing w:line="360" w:lineRule="auto"/>
        <w:jc w:val="both"/>
        <w:rPr>
          <w:rFonts w:ascii="Arial" w:hAnsi="Arial" w:cs="Arial"/>
        </w:rPr>
      </w:pPr>
      <w:r w:rsidRPr="00711CC4">
        <w:rPr>
          <w:rFonts w:ascii="Arial" w:hAnsi="Arial" w:cs="Arial"/>
        </w:rPr>
        <w:t xml:space="preserve">De acuerdo con el análisis  de datos obtenidos en la evaluación se logró confirmar que esta generación no hubo influencia en la radiación respecto a la emergencia, donde se </w:t>
      </w:r>
      <w:r w:rsidRPr="00711CC4">
        <w:rPr>
          <w:rFonts w:ascii="Arial" w:hAnsi="Arial" w:cs="Arial"/>
        </w:rPr>
        <w:lastRenderedPageBreak/>
        <w:t xml:space="preserve">muestra que son relativamente homogéneas. No obstante, cabe mencionar que  en esta generación M3 el color de las hojas </w:t>
      </w:r>
      <w:proofErr w:type="spellStart"/>
      <w:r w:rsidRPr="00711CC4">
        <w:rPr>
          <w:rFonts w:ascii="Arial" w:hAnsi="Arial" w:cs="Arial"/>
        </w:rPr>
        <w:t>cotiledonales</w:t>
      </w:r>
      <w:proofErr w:type="spellEnd"/>
      <w:r w:rsidRPr="00711CC4">
        <w:rPr>
          <w:rFonts w:ascii="Arial" w:hAnsi="Arial" w:cs="Arial"/>
        </w:rPr>
        <w:t xml:space="preserve">   del tratamiento T3 (G-15) presentaron  una pigmentación  rosada  a diferencia del testigo y de los genotipos T1(G-7) y T2(G-10) que presentaron  hojas con una tonalidad verde, dichas características no se observaron en la generación M1.</w:t>
      </w:r>
    </w:p>
    <w:p w:rsidR="00B67794" w:rsidRDefault="00B67794" w:rsidP="00032094">
      <w:pPr>
        <w:spacing w:line="360" w:lineRule="auto"/>
        <w:jc w:val="both"/>
        <w:rPr>
          <w:rFonts w:ascii="Arial" w:hAnsi="Arial" w:cs="Arial"/>
        </w:rPr>
      </w:pPr>
      <w:r w:rsidRPr="00711CC4">
        <w:rPr>
          <w:rFonts w:ascii="Arial" w:hAnsi="Arial" w:cs="Arial"/>
        </w:rPr>
        <w:t>El  coeficiente  de variación fue de  4,22%, siendo inferior al 30% lo cual indica que hubo un buen manejo de las unidades experimentales, por tanto los datos son confiables.</w:t>
      </w:r>
    </w:p>
    <w:p w:rsidR="00242F8D" w:rsidRPr="00711CC4" w:rsidRDefault="00242F8D" w:rsidP="00032094">
      <w:pPr>
        <w:spacing w:line="360" w:lineRule="auto"/>
        <w:jc w:val="both"/>
        <w:rPr>
          <w:rFonts w:ascii="Arial" w:hAnsi="Arial" w:cs="Arial"/>
        </w:rPr>
      </w:pPr>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bookmarkStart w:id="34" w:name="_Toc65306579"/>
      <w:r w:rsidRPr="00711CC4">
        <w:rPr>
          <w:rFonts w:ascii="Arial" w:eastAsiaTheme="majorEastAsia" w:hAnsi="Arial" w:cs="Arial"/>
          <w:b/>
          <w:bCs/>
          <w:color w:val="000000" w:themeColor="text1"/>
        </w:rPr>
        <w:t>Días a la floración</w:t>
      </w:r>
      <w:bookmarkEnd w:id="34"/>
      <w:r w:rsidRPr="00711CC4">
        <w:rPr>
          <w:rFonts w:ascii="Arial" w:eastAsiaTheme="majorEastAsia" w:hAnsi="Arial" w:cs="Arial"/>
          <w:b/>
          <w:bCs/>
          <w:color w:val="000000" w:themeColor="text1"/>
        </w:rPr>
        <w:t xml:space="preserve"> </w:t>
      </w:r>
    </w:p>
    <w:p w:rsidR="00B67794" w:rsidRPr="00711CC4" w:rsidRDefault="00B67794" w:rsidP="00032094">
      <w:pPr>
        <w:spacing w:line="360" w:lineRule="auto"/>
        <w:jc w:val="both"/>
        <w:rPr>
          <w:rFonts w:ascii="Arial" w:hAnsi="Arial" w:cs="Arial"/>
        </w:rPr>
      </w:pPr>
    </w:p>
    <w:p w:rsidR="00B67794" w:rsidRPr="00711CC4" w:rsidRDefault="00242F8D" w:rsidP="00032094">
      <w:pPr>
        <w:spacing w:line="360" w:lineRule="auto"/>
        <w:jc w:val="both"/>
        <w:rPr>
          <w:rFonts w:ascii="Arial" w:hAnsi="Arial" w:cs="Arial"/>
        </w:rPr>
      </w:pPr>
      <w:r>
        <w:rPr>
          <w:rFonts w:ascii="Arial" w:hAnsi="Arial" w:cs="Arial"/>
        </w:rPr>
        <w:t>En el cuadro 4</w:t>
      </w:r>
      <w:r w:rsidR="00B67794" w:rsidRPr="00711CC4">
        <w:rPr>
          <w:rFonts w:ascii="Arial" w:hAnsi="Arial" w:cs="Arial"/>
        </w:rPr>
        <w:t>, se presenta  los resultados del  análisis de varianza, donde se muestra que no existen diferencias  significativas entre bloques, los cual indica que la pendiente no tuvo efecto directo respecto a esta  variable.</w:t>
      </w:r>
    </w:p>
    <w:p w:rsidR="00B67794" w:rsidRPr="00711CC4" w:rsidRDefault="00B67794" w:rsidP="00032094">
      <w:pPr>
        <w:spacing w:line="360" w:lineRule="auto"/>
        <w:jc w:val="both"/>
        <w:rPr>
          <w:rFonts w:ascii="Arial" w:hAnsi="Arial" w:cs="Arial"/>
        </w:rPr>
      </w:pPr>
      <w:r w:rsidRPr="00711CC4">
        <w:rPr>
          <w:rFonts w:ascii="Arial" w:hAnsi="Arial" w:cs="Arial"/>
        </w:rPr>
        <w:t>Para el caso de los tratamientos se puede observar que existe una diferencia significativa, es decir que los genotipos y el testigo logran diferentes resultados en cuanto al  número de días  a  floración.</w:t>
      </w:r>
    </w:p>
    <w:p w:rsidR="00B67794" w:rsidRPr="00711CC4" w:rsidRDefault="00B67794" w:rsidP="00032094">
      <w:pPr>
        <w:keepNext/>
        <w:spacing w:line="360" w:lineRule="auto"/>
        <w:jc w:val="both"/>
        <w:rPr>
          <w:rFonts w:ascii="Arial" w:hAnsi="Arial" w:cs="Arial"/>
          <w:b/>
          <w:bCs/>
          <w:color w:val="000000" w:themeColor="text1"/>
        </w:rPr>
      </w:pPr>
      <w:bookmarkStart w:id="35" w:name="_Toc57032775"/>
      <w:bookmarkStart w:id="36" w:name="_Toc57857654"/>
      <w:r w:rsidRPr="00711CC4">
        <w:rPr>
          <w:rFonts w:ascii="Arial" w:hAnsi="Arial" w:cs="Arial"/>
          <w:b/>
          <w:bCs/>
          <w:color w:val="000000" w:themeColor="text1"/>
        </w:rPr>
        <w:t xml:space="preserve">Cuadro  </w:t>
      </w:r>
      <w:r w:rsidR="00242F8D">
        <w:rPr>
          <w:rFonts w:ascii="Arial" w:hAnsi="Arial" w:cs="Arial"/>
          <w:b/>
          <w:bCs/>
          <w:color w:val="000000" w:themeColor="text1"/>
        </w:rPr>
        <w:t>4</w:t>
      </w:r>
      <w:r w:rsidRPr="00711CC4">
        <w:rPr>
          <w:rFonts w:ascii="Arial" w:hAnsi="Arial" w:cs="Arial"/>
          <w:b/>
          <w:bCs/>
          <w:color w:val="000000" w:themeColor="text1"/>
        </w:rPr>
        <w:t>. Análisis de varianza para el número de días a la floración</w:t>
      </w:r>
      <w:bookmarkEnd w:id="35"/>
      <w:bookmarkEnd w:id="36"/>
    </w:p>
    <w:tbl>
      <w:tblPr>
        <w:tblW w:w="8645" w:type="dxa"/>
        <w:tblInd w:w="55" w:type="dxa"/>
        <w:tblCellMar>
          <w:left w:w="70" w:type="dxa"/>
          <w:right w:w="70" w:type="dxa"/>
        </w:tblCellMar>
        <w:tblLook w:val="04A0" w:firstRow="1" w:lastRow="0" w:firstColumn="1" w:lastColumn="0" w:noHBand="0" w:noVBand="1"/>
      </w:tblPr>
      <w:tblGrid>
        <w:gridCol w:w="2283"/>
        <w:gridCol w:w="764"/>
        <w:gridCol w:w="1252"/>
        <w:gridCol w:w="1252"/>
        <w:gridCol w:w="1252"/>
        <w:gridCol w:w="1252"/>
        <w:gridCol w:w="590"/>
      </w:tblGrid>
      <w:tr w:rsidR="00B67794" w:rsidRPr="00711CC4" w:rsidTr="00B67794">
        <w:trPr>
          <w:trHeight w:val="625"/>
        </w:trPr>
        <w:tc>
          <w:tcPr>
            <w:tcW w:w="228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B67794" w:rsidRPr="00711CC4" w:rsidRDefault="00B67794" w:rsidP="00032094">
            <w:pPr>
              <w:spacing w:after="0" w:line="360" w:lineRule="auto"/>
              <w:jc w:val="both"/>
              <w:rPr>
                <w:rFonts w:ascii="Arial" w:eastAsia="Times New Roman" w:hAnsi="Arial" w:cs="Arial"/>
                <w:b/>
                <w:color w:val="000000"/>
                <w:lang w:eastAsia="es-ES"/>
              </w:rPr>
            </w:pPr>
            <w:r w:rsidRPr="00711CC4">
              <w:rPr>
                <w:rFonts w:ascii="Arial" w:eastAsia="Times New Roman" w:hAnsi="Arial" w:cs="Arial"/>
                <w:b/>
                <w:color w:val="000000"/>
                <w:lang w:eastAsia="es-ES"/>
              </w:rPr>
              <w:t>F.V</w:t>
            </w:r>
          </w:p>
        </w:tc>
        <w:tc>
          <w:tcPr>
            <w:tcW w:w="764" w:type="dxa"/>
            <w:tcBorders>
              <w:top w:val="single" w:sz="4" w:space="0" w:color="auto"/>
              <w:left w:val="nil"/>
              <w:bottom w:val="single" w:sz="4" w:space="0" w:color="auto"/>
              <w:right w:val="single" w:sz="4" w:space="0" w:color="auto"/>
            </w:tcBorders>
            <w:shd w:val="clear" w:color="000000" w:fill="FCD5B4"/>
            <w:noWrap/>
            <w:vAlign w:val="bottom"/>
            <w:hideMark/>
          </w:tcPr>
          <w:p w:rsidR="00B67794" w:rsidRPr="00711CC4" w:rsidRDefault="00B67794" w:rsidP="00032094">
            <w:pPr>
              <w:spacing w:after="0" w:line="360" w:lineRule="auto"/>
              <w:jc w:val="both"/>
              <w:rPr>
                <w:rFonts w:ascii="Arial" w:eastAsia="Times New Roman" w:hAnsi="Arial" w:cs="Arial"/>
                <w:b/>
                <w:color w:val="000000"/>
                <w:lang w:eastAsia="es-ES"/>
              </w:rPr>
            </w:pPr>
            <w:r w:rsidRPr="00711CC4">
              <w:rPr>
                <w:rFonts w:ascii="Arial" w:eastAsia="Times New Roman" w:hAnsi="Arial" w:cs="Arial"/>
                <w:b/>
                <w:color w:val="000000"/>
                <w:lang w:eastAsia="es-ES"/>
              </w:rPr>
              <w:t>G.L</w:t>
            </w:r>
          </w:p>
        </w:tc>
        <w:tc>
          <w:tcPr>
            <w:tcW w:w="1252" w:type="dxa"/>
            <w:tcBorders>
              <w:top w:val="single" w:sz="4" w:space="0" w:color="auto"/>
              <w:left w:val="nil"/>
              <w:bottom w:val="single" w:sz="4" w:space="0" w:color="auto"/>
              <w:right w:val="single" w:sz="4" w:space="0" w:color="auto"/>
            </w:tcBorders>
            <w:shd w:val="clear" w:color="000000" w:fill="FCD5B4"/>
            <w:noWrap/>
            <w:vAlign w:val="bottom"/>
            <w:hideMark/>
          </w:tcPr>
          <w:p w:rsidR="00B67794" w:rsidRPr="00711CC4" w:rsidRDefault="00B67794" w:rsidP="00032094">
            <w:pPr>
              <w:spacing w:after="0" w:line="360" w:lineRule="auto"/>
              <w:jc w:val="both"/>
              <w:rPr>
                <w:rFonts w:ascii="Arial" w:eastAsia="Times New Roman" w:hAnsi="Arial" w:cs="Arial"/>
                <w:b/>
                <w:color w:val="000000"/>
                <w:lang w:eastAsia="es-ES"/>
              </w:rPr>
            </w:pPr>
            <w:r w:rsidRPr="00711CC4">
              <w:rPr>
                <w:rFonts w:ascii="Arial" w:eastAsia="Times New Roman" w:hAnsi="Arial" w:cs="Arial"/>
                <w:b/>
                <w:color w:val="000000"/>
                <w:lang w:eastAsia="es-ES"/>
              </w:rPr>
              <w:t>S.C</w:t>
            </w:r>
          </w:p>
        </w:tc>
        <w:tc>
          <w:tcPr>
            <w:tcW w:w="1252" w:type="dxa"/>
            <w:tcBorders>
              <w:top w:val="single" w:sz="4" w:space="0" w:color="auto"/>
              <w:left w:val="nil"/>
              <w:bottom w:val="single" w:sz="4" w:space="0" w:color="auto"/>
              <w:right w:val="single" w:sz="4" w:space="0" w:color="auto"/>
            </w:tcBorders>
            <w:shd w:val="clear" w:color="000000" w:fill="FCD5B4"/>
            <w:noWrap/>
            <w:vAlign w:val="bottom"/>
            <w:hideMark/>
          </w:tcPr>
          <w:p w:rsidR="00B67794" w:rsidRPr="00711CC4" w:rsidRDefault="00B67794" w:rsidP="00032094">
            <w:pPr>
              <w:spacing w:after="0" w:line="360" w:lineRule="auto"/>
              <w:jc w:val="both"/>
              <w:rPr>
                <w:rFonts w:ascii="Arial" w:eastAsia="Times New Roman" w:hAnsi="Arial" w:cs="Arial"/>
                <w:b/>
                <w:color w:val="000000"/>
                <w:lang w:eastAsia="es-ES"/>
              </w:rPr>
            </w:pPr>
            <w:r w:rsidRPr="00711CC4">
              <w:rPr>
                <w:rFonts w:ascii="Arial" w:eastAsia="Times New Roman" w:hAnsi="Arial" w:cs="Arial"/>
                <w:b/>
                <w:color w:val="000000"/>
                <w:lang w:eastAsia="es-ES"/>
              </w:rPr>
              <w:t>C.M</w:t>
            </w:r>
          </w:p>
        </w:tc>
        <w:tc>
          <w:tcPr>
            <w:tcW w:w="1252" w:type="dxa"/>
            <w:tcBorders>
              <w:top w:val="single" w:sz="4" w:space="0" w:color="auto"/>
              <w:left w:val="nil"/>
              <w:bottom w:val="single" w:sz="4" w:space="0" w:color="auto"/>
              <w:right w:val="single" w:sz="4" w:space="0" w:color="auto"/>
            </w:tcBorders>
            <w:shd w:val="clear" w:color="000000" w:fill="FCD5B4"/>
            <w:noWrap/>
            <w:vAlign w:val="bottom"/>
            <w:hideMark/>
          </w:tcPr>
          <w:p w:rsidR="00B67794" w:rsidRPr="00711CC4" w:rsidRDefault="00B67794" w:rsidP="00032094">
            <w:pPr>
              <w:spacing w:after="0" w:line="360" w:lineRule="auto"/>
              <w:jc w:val="both"/>
              <w:rPr>
                <w:rFonts w:ascii="Arial" w:eastAsia="Times New Roman" w:hAnsi="Arial" w:cs="Arial"/>
                <w:b/>
                <w:color w:val="000000"/>
                <w:lang w:eastAsia="es-ES"/>
              </w:rPr>
            </w:pPr>
            <w:proofErr w:type="spellStart"/>
            <w:r w:rsidRPr="00711CC4">
              <w:rPr>
                <w:rFonts w:ascii="Arial" w:eastAsia="Times New Roman" w:hAnsi="Arial" w:cs="Arial"/>
                <w:b/>
                <w:color w:val="000000"/>
                <w:lang w:eastAsia="es-ES"/>
              </w:rPr>
              <w:t>Fc</w:t>
            </w:r>
            <w:proofErr w:type="spellEnd"/>
          </w:p>
        </w:tc>
        <w:tc>
          <w:tcPr>
            <w:tcW w:w="1252" w:type="dxa"/>
            <w:tcBorders>
              <w:top w:val="single" w:sz="4" w:space="0" w:color="auto"/>
              <w:left w:val="nil"/>
              <w:bottom w:val="single" w:sz="4" w:space="0" w:color="auto"/>
              <w:right w:val="single" w:sz="4" w:space="0" w:color="auto"/>
            </w:tcBorders>
            <w:shd w:val="clear" w:color="000000" w:fill="FCD5B4"/>
            <w:noWrap/>
            <w:vAlign w:val="bottom"/>
            <w:hideMark/>
          </w:tcPr>
          <w:p w:rsidR="00B67794" w:rsidRPr="00711CC4" w:rsidRDefault="00B67794" w:rsidP="00032094">
            <w:pPr>
              <w:spacing w:after="0" w:line="360" w:lineRule="auto"/>
              <w:jc w:val="both"/>
              <w:rPr>
                <w:rFonts w:ascii="Arial" w:eastAsia="Times New Roman" w:hAnsi="Arial" w:cs="Arial"/>
                <w:b/>
                <w:color w:val="000000"/>
                <w:lang w:eastAsia="es-ES"/>
              </w:rPr>
            </w:pPr>
            <w:r w:rsidRPr="00711CC4">
              <w:rPr>
                <w:rFonts w:ascii="Arial" w:eastAsia="Times New Roman" w:hAnsi="Arial" w:cs="Arial"/>
                <w:b/>
                <w:color w:val="000000"/>
                <w:lang w:eastAsia="es-ES"/>
              </w:rPr>
              <w:t>Ft(0,05)</w:t>
            </w:r>
          </w:p>
        </w:tc>
        <w:tc>
          <w:tcPr>
            <w:tcW w:w="590" w:type="dxa"/>
            <w:tcBorders>
              <w:top w:val="single" w:sz="4" w:space="0" w:color="auto"/>
              <w:left w:val="nil"/>
              <w:bottom w:val="single" w:sz="4" w:space="0" w:color="auto"/>
              <w:right w:val="single" w:sz="4" w:space="0" w:color="auto"/>
            </w:tcBorders>
            <w:shd w:val="clear" w:color="000000" w:fill="FCD5B4"/>
            <w:noWrap/>
            <w:vAlign w:val="bottom"/>
            <w:hideMark/>
          </w:tcPr>
          <w:p w:rsidR="00B67794" w:rsidRPr="00711CC4" w:rsidRDefault="00B67794" w:rsidP="00032094">
            <w:pPr>
              <w:spacing w:after="0" w:line="360" w:lineRule="auto"/>
              <w:jc w:val="both"/>
              <w:rPr>
                <w:rFonts w:ascii="Arial" w:eastAsia="Times New Roman" w:hAnsi="Arial" w:cs="Arial"/>
                <w:b/>
                <w:color w:val="000000"/>
                <w:lang w:eastAsia="es-ES"/>
              </w:rPr>
            </w:pPr>
            <w:r w:rsidRPr="00711CC4">
              <w:rPr>
                <w:rFonts w:ascii="Arial" w:eastAsia="Times New Roman" w:hAnsi="Arial" w:cs="Arial"/>
                <w:b/>
                <w:color w:val="000000"/>
                <w:lang w:eastAsia="es-ES"/>
              </w:rPr>
              <w:t> </w:t>
            </w:r>
          </w:p>
        </w:tc>
      </w:tr>
      <w:tr w:rsidR="00B67794" w:rsidRPr="00711CC4" w:rsidTr="00B67794">
        <w:trPr>
          <w:trHeight w:val="507"/>
        </w:trPr>
        <w:tc>
          <w:tcPr>
            <w:tcW w:w="228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764"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5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302,947</w:t>
            </w:r>
          </w:p>
        </w:tc>
        <w:tc>
          <w:tcPr>
            <w:tcW w:w="125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100,982</w:t>
            </w:r>
          </w:p>
        </w:tc>
        <w:tc>
          <w:tcPr>
            <w:tcW w:w="125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2,098</w:t>
            </w:r>
          </w:p>
        </w:tc>
        <w:tc>
          <w:tcPr>
            <w:tcW w:w="125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0,171</w:t>
            </w:r>
          </w:p>
        </w:tc>
        <w:tc>
          <w:tcPr>
            <w:tcW w:w="59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NS</w:t>
            </w:r>
          </w:p>
        </w:tc>
      </w:tr>
      <w:tr w:rsidR="00B67794" w:rsidRPr="00711CC4" w:rsidTr="00B67794">
        <w:trPr>
          <w:trHeight w:val="307"/>
        </w:trPr>
        <w:tc>
          <w:tcPr>
            <w:tcW w:w="228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764"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5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786,894</w:t>
            </w:r>
          </w:p>
        </w:tc>
        <w:tc>
          <w:tcPr>
            <w:tcW w:w="1252" w:type="dxa"/>
            <w:tcBorders>
              <w:top w:val="nil"/>
              <w:left w:val="nil"/>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262,298</w:t>
            </w:r>
          </w:p>
        </w:tc>
        <w:tc>
          <w:tcPr>
            <w:tcW w:w="125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5,450</w:t>
            </w:r>
          </w:p>
        </w:tc>
        <w:tc>
          <w:tcPr>
            <w:tcW w:w="125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0,021</w:t>
            </w:r>
          </w:p>
        </w:tc>
        <w:tc>
          <w:tcPr>
            <w:tcW w:w="59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07"/>
        </w:trPr>
        <w:tc>
          <w:tcPr>
            <w:tcW w:w="228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764"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25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433,144</w:t>
            </w:r>
          </w:p>
        </w:tc>
        <w:tc>
          <w:tcPr>
            <w:tcW w:w="125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48,127</w:t>
            </w:r>
          </w:p>
        </w:tc>
        <w:tc>
          <w:tcPr>
            <w:tcW w:w="1252"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52"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59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366"/>
        </w:trPr>
        <w:tc>
          <w:tcPr>
            <w:tcW w:w="228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764"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25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1522,984</w:t>
            </w:r>
          </w:p>
        </w:tc>
        <w:tc>
          <w:tcPr>
            <w:tcW w:w="1252"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52"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52"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59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line="360" w:lineRule="auto"/>
        <w:jc w:val="both"/>
        <w:rPr>
          <w:rFonts w:ascii="Arial" w:hAnsi="Arial" w:cs="Arial"/>
        </w:rPr>
      </w:pPr>
      <w:r w:rsidRPr="00711CC4">
        <w:rPr>
          <w:rFonts w:ascii="Arial" w:hAnsi="Arial" w:cs="Arial"/>
        </w:rPr>
        <w:t xml:space="preserve">FV=Fuente de variación        GL=Grados de libertad     NS= No significativo  *= significativo        </w:t>
      </w:r>
    </w:p>
    <w:p w:rsidR="00B67794" w:rsidRPr="00711CC4" w:rsidRDefault="00B67794" w:rsidP="00032094">
      <w:pPr>
        <w:spacing w:line="360" w:lineRule="auto"/>
        <w:jc w:val="both"/>
        <w:rPr>
          <w:rFonts w:ascii="Arial" w:hAnsi="Arial" w:cs="Arial"/>
        </w:rPr>
      </w:pPr>
      <w:r w:rsidRPr="00711CC4">
        <w:rPr>
          <w:rFonts w:ascii="Arial" w:hAnsi="Arial" w:cs="Arial"/>
        </w:rPr>
        <w:t xml:space="preserve">El coeficiente de variación  fue de 8,75% lo que  indica  que se encuentra en un valor aceptable para ensayos agronómicos en campo, siendo inferior al 30 %, por tanto los datos obtenidos son confiables. </w:t>
      </w:r>
    </w:p>
    <w:p w:rsidR="00B67794" w:rsidRPr="00711CC4" w:rsidRDefault="00B67794" w:rsidP="00242F8D">
      <w:pPr>
        <w:keepNext/>
        <w:spacing w:line="360" w:lineRule="auto"/>
        <w:jc w:val="center"/>
        <w:rPr>
          <w:rFonts w:ascii="Arial" w:hAnsi="Arial" w:cs="Arial"/>
        </w:rPr>
      </w:pPr>
      <w:r w:rsidRPr="00711CC4">
        <w:rPr>
          <w:rFonts w:ascii="Arial" w:hAnsi="Arial" w:cs="Arial"/>
          <w:noProof/>
          <w:lang w:eastAsia="es-ES"/>
        </w:rPr>
        <w:lastRenderedPageBreak/>
        <w:drawing>
          <wp:inline distT="0" distB="0" distL="0" distR="0" wp14:anchorId="25F977EA" wp14:editId="6E7A1FDA">
            <wp:extent cx="4572000" cy="2186609"/>
            <wp:effectExtent l="0" t="0" r="19050" b="2349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67794" w:rsidRPr="00711CC4" w:rsidRDefault="00B67794" w:rsidP="00FB351E">
      <w:pPr>
        <w:spacing w:line="360" w:lineRule="auto"/>
        <w:jc w:val="center"/>
        <w:rPr>
          <w:rFonts w:ascii="Arial" w:hAnsi="Arial" w:cs="Arial"/>
          <w:b/>
          <w:bCs/>
          <w:color w:val="000000" w:themeColor="text1"/>
        </w:rPr>
      </w:pPr>
      <w:bookmarkStart w:id="37" w:name="_Toc64025904"/>
      <w:r w:rsidRPr="00711CC4">
        <w:rPr>
          <w:rFonts w:ascii="Arial" w:hAnsi="Arial" w:cs="Arial"/>
          <w:b/>
          <w:bCs/>
          <w:color w:val="000000" w:themeColor="text1"/>
        </w:rPr>
        <w:t xml:space="preserve">Figura </w:t>
      </w:r>
      <w:r w:rsidR="00242F8D">
        <w:rPr>
          <w:rFonts w:ascii="Arial" w:hAnsi="Arial" w:cs="Arial"/>
          <w:b/>
          <w:bCs/>
          <w:color w:val="000000" w:themeColor="text1"/>
        </w:rPr>
        <w:t>3</w:t>
      </w:r>
      <w:r w:rsidRPr="00711CC4">
        <w:rPr>
          <w:rFonts w:ascii="Arial" w:hAnsi="Arial" w:cs="Arial"/>
          <w:b/>
          <w:bCs/>
          <w:color w:val="000000" w:themeColor="text1"/>
        </w:rPr>
        <w:t>. Comparación de medias  para el número de días a la floración para los genotipos de la generación M3 de quinua. (Duncan α=0.05).</w:t>
      </w:r>
      <w:bookmarkEnd w:id="37"/>
    </w:p>
    <w:p w:rsidR="00B67794" w:rsidRPr="00711CC4" w:rsidRDefault="00B67794" w:rsidP="00032094">
      <w:pPr>
        <w:spacing w:line="360" w:lineRule="auto"/>
        <w:jc w:val="both"/>
        <w:rPr>
          <w:rFonts w:ascii="Arial" w:hAnsi="Arial" w:cs="Arial"/>
        </w:rPr>
      </w:pPr>
      <w:r w:rsidRPr="00711CC4">
        <w:rPr>
          <w:rFonts w:ascii="Arial" w:hAnsi="Arial" w:cs="Arial"/>
        </w:rPr>
        <w:t>Los resultados de la Prueba Duncan</w:t>
      </w:r>
      <w:r w:rsidR="00242F8D">
        <w:rPr>
          <w:rFonts w:ascii="Arial" w:hAnsi="Arial" w:cs="Arial"/>
        </w:rPr>
        <w:t xml:space="preserve"> al 5% de probabilidad (figura 3</w:t>
      </w:r>
      <w:r w:rsidRPr="00711CC4">
        <w:rPr>
          <w:rFonts w:ascii="Arial" w:hAnsi="Arial" w:cs="Arial"/>
        </w:rPr>
        <w:t xml:space="preserve">), muestra que estadísticamente los genotipos T1 (G-7) y T2 (G-10)  lograron alcanzar la floración en el 50 % de la población entre los 71 y 75 días. A diferencia  del  T3 (G-15) y el testigo  con un promedio de  90 días obtuvo mayor tiempo  en alcanzar la fase de floración. </w:t>
      </w:r>
    </w:p>
    <w:p w:rsidR="00B67794" w:rsidRPr="00711CC4" w:rsidRDefault="00B67794" w:rsidP="00032094">
      <w:pPr>
        <w:spacing w:line="360" w:lineRule="auto"/>
        <w:jc w:val="both"/>
        <w:rPr>
          <w:rFonts w:ascii="Arial" w:hAnsi="Arial" w:cs="Arial"/>
        </w:rPr>
      </w:pPr>
      <w:r w:rsidRPr="00711CC4">
        <w:rPr>
          <w:rFonts w:ascii="Arial" w:hAnsi="Arial" w:cs="Arial"/>
        </w:rPr>
        <w:t xml:space="preserve">Los resultados obtenidos en el presente trabajo de investigación, concuerda con lo que mencionan Mujica </w:t>
      </w:r>
      <w:r w:rsidRPr="00711CC4">
        <w:rPr>
          <w:rFonts w:ascii="Arial" w:hAnsi="Arial" w:cs="Arial"/>
          <w:i/>
        </w:rPr>
        <w:t>et al. (</w:t>
      </w:r>
      <w:r w:rsidRPr="00711CC4">
        <w:rPr>
          <w:rFonts w:ascii="Arial" w:hAnsi="Arial" w:cs="Arial"/>
        </w:rPr>
        <w:t xml:space="preserve">2004) que la floración ocurre de los 90 y 100 días  después de la siembra. Asimismo  Bernardo (2020), da a conocer que en la generación M3 de la variedad Amarilla de </w:t>
      </w:r>
      <w:proofErr w:type="spellStart"/>
      <w:r w:rsidRPr="00711CC4">
        <w:rPr>
          <w:rFonts w:ascii="Arial" w:hAnsi="Arial" w:cs="Arial"/>
        </w:rPr>
        <w:t>Maranganí</w:t>
      </w:r>
      <w:proofErr w:type="spellEnd"/>
      <w:r w:rsidRPr="00711CC4">
        <w:rPr>
          <w:rFonts w:ascii="Arial" w:hAnsi="Arial" w:cs="Arial"/>
        </w:rPr>
        <w:t xml:space="preserve">  provenientes de semillas irradiadas con rayos gamma de  150 Gy y 200 Gy, menciona que en plantas mutantes identificadas obtuvieron precocidad con 89 días a la floración. Los  datos obtenidos  en los genotipos T1 (G-7), T2 (G-1) y  T3 (G-15) son considerados precoces a la floración  por la diferencia de 15 a 20 días  respecto al testigo  que no </w:t>
      </w:r>
      <w:r w:rsidR="00032094" w:rsidRPr="00711CC4">
        <w:rPr>
          <w:rFonts w:ascii="Arial" w:hAnsi="Arial" w:cs="Arial"/>
        </w:rPr>
        <w:t>ha sido sometido a irradiación.</w:t>
      </w:r>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r w:rsidRPr="00711CC4">
        <w:rPr>
          <w:rFonts w:ascii="Arial" w:eastAsiaTheme="majorEastAsia" w:hAnsi="Arial" w:cs="Arial"/>
          <w:b/>
          <w:bCs/>
          <w:color w:val="000000" w:themeColor="text1"/>
        </w:rPr>
        <w:t xml:space="preserve"> </w:t>
      </w:r>
      <w:bookmarkStart w:id="38" w:name="_Toc65306580"/>
      <w:r w:rsidRPr="00711CC4">
        <w:rPr>
          <w:rFonts w:ascii="Arial" w:eastAsiaTheme="majorEastAsia" w:hAnsi="Arial" w:cs="Arial"/>
          <w:b/>
          <w:bCs/>
          <w:color w:val="000000" w:themeColor="text1"/>
        </w:rPr>
        <w:t>Días a la cosecha</w:t>
      </w:r>
      <w:bookmarkEnd w:id="38"/>
    </w:p>
    <w:p w:rsidR="00B67794" w:rsidRPr="00711CC4" w:rsidRDefault="00176500" w:rsidP="00032094">
      <w:pPr>
        <w:spacing w:line="360" w:lineRule="auto"/>
        <w:jc w:val="both"/>
        <w:rPr>
          <w:rFonts w:ascii="Arial" w:hAnsi="Arial" w:cs="Arial"/>
        </w:rPr>
      </w:pPr>
      <w:r>
        <w:rPr>
          <w:rFonts w:ascii="Arial" w:hAnsi="Arial" w:cs="Arial"/>
        </w:rPr>
        <w:t>El  cuadro 5</w:t>
      </w:r>
      <w:r w:rsidR="00B67794" w:rsidRPr="00711CC4">
        <w:rPr>
          <w:rFonts w:ascii="Arial" w:hAnsi="Arial" w:cs="Arial"/>
        </w:rPr>
        <w:t xml:space="preserve">, presenta el análisis de varianza para el número de días a la cosecha. </w:t>
      </w:r>
    </w:p>
    <w:p w:rsidR="00B67794" w:rsidRPr="00077A07" w:rsidRDefault="00B67794" w:rsidP="00176500">
      <w:pPr>
        <w:keepNext/>
        <w:spacing w:line="360" w:lineRule="auto"/>
        <w:jc w:val="center"/>
        <w:rPr>
          <w:rFonts w:ascii="Arial" w:hAnsi="Arial" w:cs="Arial"/>
          <w:b/>
          <w:bCs/>
          <w:color w:val="000000" w:themeColor="text1"/>
        </w:rPr>
      </w:pPr>
      <w:bookmarkStart w:id="39" w:name="_Toc57032776"/>
      <w:bookmarkStart w:id="40" w:name="_Toc57857655"/>
      <w:r w:rsidRPr="00077A07">
        <w:rPr>
          <w:rFonts w:ascii="Arial" w:hAnsi="Arial" w:cs="Arial"/>
          <w:b/>
          <w:bCs/>
          <w:color w:val="000000" w:themeColor="text1"/>
        </w:rPr>
        <w:t xml:space="preserve">Cuadro  </w:t>
      </w:r>
      <w:r w:rsidR="00176500" w:rsidRPr="00077A07">
        <w:rPr>
          <w:rFonts w:ascii="Arial" w:hAnsi="Arial" w:cs="Arial"/>
          <w:b/>
          <w:bCs/>
          <w:color w:val="000000" w:themeColor="text1"/>
        </w:rPr>
        <w:t>5</w:t>
      </w:r>
      <w:r w:rsidRPr="00077A07">
        <w:rPr>
          <w:rFonts w:ascii="Arial" w:hAnsi="Arial" w:cs="Arial"/>
          <w:b/>
          <w:bCs/>
          <w:color w:val="000000" w:themeColor="text1"/>
        </w:rPr>
        <w:t xml:space="preserve">. Análisis de varianza para días a la </w:t>
      </w:r>
      <w:bookmarkEnd w:id="39"/>
      <w:r w:rsidRPr="00077A07">
        <w:rPr>
          <w:rFonts w:ascii="Arial" w:hAnsi="Arial" w:cs="Arial"/>
          <w:b/>
          <w:bCs/>
          <w:color w:val="000000" w:themeColor="text1"/>
        </w:rPr>
        <w:t>cosecha</w:t>
      </w:r>
      <w:bookmarkEnd w:id="40"/>
    </w:p>
    <w:tbl>
      <w:tblPr>
        <w:tblW w:w="8607" w:type="dxa"/>
        <w:jc w:val="center"/>
        <w:tblInd w:w="55" w:type="dxa"/>
        <w:tblCellMar>
          <w:left w:w="70" w:type="dxa"/>
          <w:right w:w="70" w:type="dxa"/>
        </w:tblCellMar>
        <w:tblLook w:val="04A0" w:firstRow="1" w:lastRow="0" w:firstColumn="1" w:lastColumn="0" w:noHBand="0" w:noVBand="1"/>
      </w:tblPr>
      <w:tblGrid>
        <w:gridCol w:w="2347"/>
        <w:gridCol w:w="682"/>
        <w:gridCol w:w="1238"/>
        <w:gridCol w:w="1238"/>
        <w:gridCol w:w="1238"/>
        <w:gridCol w:w="1238"/>
        <w:gridCol w:w="626"/>
      </w:tblGrid>
      <w:tr w:rsidR="00B67794" w:rsidRPr="00077A07" w:rsidTr="00077A07">
        <w:trPr>
          <w:trHeight w:val="525"/>
          <w:jc w:val="center"/>
        </w:trPr>
        <w:tc>
          <w:tcPr>
            <w:tcW w:w="2347" w:type="dxa"/>
            <w:tcBorders>
              <w:top w:val="single" w:sz="8" w:space="0" w:color="auto"/>
              <w:left w:val="single" w:sz="8" w:space="0" w:color="auto"/>
              <w:bottom w:val="single" w:sz="8" w:space="0" w:color="auto"/>
              <w:right w:val="single" w:sz="8" w:space="0" w:color="auto"/>
            </w:tcBorders>
            <w:shd w:val="clear" w:color="000000" w:fill="92CDDC"/>
            <w:noWrap/>
            <w:vAlign w:val="center"/>
            <w:hideMark/>
          </w:tcPr>
          <w:p w:rsidR="00B67794" w:rsidRPr="00077A07" w:rsidRDefault="00B67794" w:rsidP="00032094">
            <w:pPr>
              <w:spacing w:after="0" w:line="360" w:lineRule="auto"/>
              <w:jc w:val="both"/>
              <w:rPr>
                <w:rFonts w:ascii="Arial" w:eastAsia="Times New Roman" w:hAnsi="Arial" w:cs="Arial"/>
                <w:b/>
                <w:color w:val="000000"/>
                <w:lang w:eastAsia="es-ES"/>
              </w:rPr>
            </w:pPr>
            <w:r w:rsidRPr="00077A07">
              <w:rPr>
                <w:rFonts w:ascii="Arial" w:eastAsia="Times New Roman" w:hAnsi="Arial" w:cs="Arial"/>
                <w:b/>
                <w:color w:val="000000"/>
                <w:lang w:eastAsia="es-ES"/>
              </w:rPr>
              <w:t>F.V</w:t>
            </w:r>
          </w:p>
        </w:tc>
        <w:tc>
          <w:tcPr>
            <w:tcW w:w="682"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077A07" w:rsidRDefault="00B67794" w:rsidP="00032094">
            <w:pPr>
              <w:spacing w:after="0" w:line="360" w:lineRule="auto"/>
              <w:jc w:val="both"/>
              <w:rPr>
                <w:rFonts w:ascii="Arial" w:eastAsia="Times New Roman" w:hAnsi="Arial" w:cs="Arial"/>
                <w:b/>
                <w:color w:val="000000"/>
                <w:lang w:eastAsia="es-ES"/>
              </w:rPr>
            </w:pPr>
            <w:r w:rsidRPr="00077A07">
              <w:rPr>
                <w:rFonts w:ascii="Arial" w:eastAsia="Times New Roman" w:hAnsi="Arial" w:cs="Arial"/>
                <w:b/>
                <w:color w:val="000000"/>
                <w:lang w:eastAsia="es-ES"/>
              </w:rPr>
              <w:t>G.L</w:t>
            </w:r>
          </w:p>
        </w:tc>
        <w:tc>
          <w:tcPr>
            <w:tcW w:w="1238"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077A07" w:rsidRDefault="00B67794" w:rsidP="00032094">
            <w:pPr>
              <w:spacing w:after="0" w:line="360" w:lineRule="auto"/>
              <w:jc w:val="both"/>
              <w:rPr>
                <w:rFonts w:ascii="Arial" w:eastAsia="Times New Roman" w:hAnsi="Arial" w:cs="Arial"/>
                <w:b/>
                <w:color w:val="000000"/>
                <w:lang w:eastAsia="es-ES"/>
              </w:rPr>
            </w:pPr>
            <w:r w:rsidRPr="00077A07">
              <w:rPr>
                <w:rFonts w:ascii="Arial" w:eastAsia="Times New Roman" w:hAnsi="Arial" w:cs="Arial"/>
                <w:b/>
                <w:color w:val="000000"/>
                <w:lang w:eastAsia="es-ES"/>
              </w:rPr>
              <w:t>S.C</w:t>
            </w:r>
          </w:p>
        </w:tc>
        <w:tc>
          <w:tcPr>
            <w:tcW w:w="1238"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077A07" w:rsidRDefault="00B67794" w:rsidP="00032094">
            <w:pPr>
              <w:spacing w:after="0" w:line="360" w:lineRule="auto"/>
              <w:jc w:val="both"/>
              <w:rPr>
                <w:rFonts w:ascii="Arial" w:eastAsia="Times New Roman" w:hAnsi="Arial" w:cs="Arial"/>
                <w:b/>
                <w:color w:val="000000"/>
                <w:lang w:eastAsia="es-ES"/>
              </w:rPr>
            </w:pPr>
            <w:r w:rsidRPr="00077A07">
              <w:rPr>
                <w:rFonts w:ascii="Arial" w:eastAsia="Times New Roman" w:hAnsi="Arial" w:cs="Arial"/>
                <w:b/>
                <w:color w:val="000000"/>
                <w:lang w:eastAsia="es-ES"/>
              </w:rPr>
              <w:t>C.M</w:t>
            </w:r>
          </w:p>
        </w:tc>
        <w:tc>
          <w:tcPr>
            <w:tcW w:w="1238"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077A07" w:rsidRDefault="00B67794" w:rsidP="00032094">
            <w:pPr>
              <w:spacing w:after="0" w:line="360" w:lineRule="auto"/>
              <w:jc w:val="both"/>
              <w:rPr>
                <w:rFonts w:ascii="Arial" w:eastAsia="Times New Roman" w:hAnsi="Arial" w:cs="Arial"/>
                <w:b/>
                <w:color w:val="000000"/>
                <w:lang w:eastAsia="es-ES"/>
              </w:rPr>
            </w:pPr>
            <w:proofErr w:type="spellStart"/>
            <w:r w:rsidRPr="00077A07">
              <w:rPr>
                <w:rFonts w:ascii="Arial" w:eastAsia="Times New Roman" w:hAnsi="Arial" w:cs="Arial"/>
                <w:b/>
                <w:color w:val="000000"/>
                <w:lang w:eastAsia="es-ES"/>
              </w:rPr>
              <w:t>Fc</w:t>
            </w:r>
            <w:proofErr w:type="spellEnd"/>
          </w:p>
        </w:tc>
        <w:tc>
          <w:tcPr>
            <w:tcW w:w="1238"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077A07" w:rsidRDefault="00B67794" w:rsidP="00032094">
            <w:pPr>
              <w:spacing w:after="0" w:line="360" w:lineRule="auto"/>
              <w:jc w:val="both"/>
              <w:rPr>
                <w:rFonts w:ascii="Arial" w:eastAsia="Times New Roman" w:hAnsi="Arial" w:cs="Arial"/>
                <w:b/>
                <w:color w:val="000000"/>
                <w:lang w:eastAsia="es-ES"/>
              </w:rPr>
            </w:pPr>
            <w:r w:rsidRPr="00077A07">
              <w:rPr>
                <w:rFonts w:ascii="Arial" w:eastAsia="Times New Roman" w:hAnsi="Arial" w:cs="Arial"/>
                <w:b/>
                <w:color w:val="000000"/>
                <w:lang w:eastAsia="es-ES"/>
              </w:rPr>
              <w:t>Ft(0,05)</w:t>
            </w:r>
          </w:p>
        </w:tc>
        <w:tc>
          <w:tcPr>
            <w:tcW w:w="626"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077A07" w:rsidRDefault="00B67794" w:rsidP="00032094">
            <w:pPr>
              <w:spacing w:after="0" w:line="360" w:lineRule="auto"/>
              <w:jc w:val="both"/>
              <w:rPr>
                <w:rFonts w:ascii="Arial" w:eastAsia="Times New Roman" w:hAnsi="Arial" w:cs="Arial"/>
                <w:b/>
                <w:color w:val="000000"/>
                <w:lang w:eastAsia="es-ES"/>
              </w:rPr>
            </w:pPr>
            <w:r w:rsidRPr="00077A07">
              <w:rPr>
                <w:rFonts w:ascii="Arial" w:eastAsia="Times New Roman" w:hAnsi="Arial" w:cs="Arial"/>
                <w:b/>
                <w:color w:val="000000"/>
                <w:lang w:eastAsia="es-ES"/>
              </w:rPr>
              <w:t> </w:t>
            </w:r>
          </w:p>
        </w:tc>
      </w:tr>
      <w:tr w:rsidR="00B67794" w:rsidRPr="00711CC4" w:rsidTr="00077A07">
        <w:trPr>
          <w:trHeight w:val="510"/>
          <w:jc w:val="center"/>
        </w:trPr>
        <w:tc>
          <w:tcPr>
            <w:tcW w:w="2347"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682"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3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5,5</w:t>
            </w:r>
          </w:p>
        </w:tc>
        <w:tc>
          <w:tcPr>
            <w:tcW w:w="123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1,83</w:t>
            </w:r>
          </w:p>
        </w:tc>
        <w:tc>
          <w:tcPr>
            <w:tcW w:w="123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0,733</w:t>
            </w:r>
          </w:p>
        </w:tc>
        <w:tc>
          <w:tcPr>
            <w:tcW w:w="123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0,558</w:t>
            </w:r>
          </w:p>
        </w:tc>
        <w:tc>
          <w:tcPr>
            <w:tcW w:w="626"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NS</w:t>
            </w:r>
          </w:p>
        </w:tc>
      </w:tr>
      <w:tr w:rsidR="00B67794" w:rsidRPr="00711CC4" w:rsidTr="00077A07">
        <w:trPr>
          <w:trHeight w:val="315"/>
          <w:jc w:val="center"/>
        </w:trPr>
        <w:tc>
          <w:tcPr>
            <w:tcW w:w="2347"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682"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3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238" w:type="dxa"/>
            <w:tcBorders>
              <w:top w:val="nil"/>
              <w:left w:val="nil"/>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3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1,2</w:t>
            </w:r>
          </w:p>
        </w:tc>
        <w:tc>
          <w:tcPr>
            <w:tcW w:w="123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0,364</w:t>
            </w:r>
          </w:p>
        </w:tc>
        <w:tc>
          <w:tcPr>
            <w:tcW w:w="626"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NS</w:t>
            </w:r>
          </w:p>
        </w:tc>
      </w:tr>
      <w:tr w:rsidR="00B67794" w:rsidRPr="00711CC4" w:rsidTr="00077A07">
        <w:trPr>
          <w:trHeight w:val="315"/>
          <w:jc w:val="center"/>
        </w:trPr>
        <w:tc>
          <w:tcPr>
            <w:tcW w:w="2347"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lastRenderedPageBreak/>
              <w:t>Error Experimental</w:t>
            </w:r>
          </w:p>
        </w:tc>
        <w:tc>
          <w:tcPr>
            <w:tcW w:w="682"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23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22,5</w:t>
            </w:r>
          </w:p>
        </w:tc>
        <w:tc>
          <w:tcPr>
            <w:tcW w:w="123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2,5</w:t>
            </w:r>
          </w:p>
        </w:tc>
        <w:tc>
          <w:tcPr>
            <w:tcW w:w="1238"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38"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26"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077A07">
        <w:trPr>
          <w:trHeight w:val="315"/>
          <w:jc w:val="center"/>
        </w:trPr>
        <w:tc>
          <w:tcPr>
            <w:tcW w:w="2347"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682"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23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37</w:t>
            </w:r>
          </w:p>
        </w:tc>
        <w:tc>
          <w:tcPr>
            <w:tcW w:w="1238"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38"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38"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26"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line="360" w:lineRule="auto"/>
        <w:jc w:val="both"/>
        <w:rPr>
          <w:rFonts w:ascii="Arial" w:hAnsi="Arial" w:cs="Arial"/>
        </w:rPr>
      </w:pPr>
      <w:r w:rsidRPr="00711CC4">
        <w:rPr>
          <w:rFonts w:ascii="Arial" w:hAnsi="Arial" w:cs="Arial"/>
        </w:rPr>
        <w:t xml:space="preserve">  FV=Fuente de variación        GL=Grados de libertad     NS= No significativo    </w:t>
      </w:r>
    </w:p>
    <w:p w:rsidR="00B67794" w:rsidRPr="00711CC4" w:rsidRDefault="00B67794" w:rsidP="00032094">
      <w:pPr>
        <w:spacing w:line="360" w:lineRule="auto"/>
        <w:jc w:val="both"/>
        <w:rPr>
          <w:rFonts w:ascii="Arial" w:hAnsi="Arial" w:cs="Arial"/>
        </w:rPr>
      </w:pPr>
      <w:r w:rsidRPr="00711CC4">
        <w:rPr>
          <w:rFonts w:ascii="Arial" w:hAnsi="Arial" w:cs="Arial"/>
        </w:rPr>
        <w:t>Los resultados del análisis de varianza para el número de días a l</w:t>
      </w:r>
      <w:r w:rsidR="00176500">
        <w:rPr>
          <w:rFonts w:ascii="Arial" w:hAnsi="Arial" w:cs="Arial"/>
        </w:rPr>
        <w:t>a cosecha de acuerdo al cuadro 5</w:t>
      </w:r>
      <w:r w:rsidRPr="00711CC4">
        <w:rPr>
          <w:rFonts w:ascii="Arial" w:hAnsi="Arial" w:cs="Arial"/>
        </w:rPr>
        <w:t>, muestra que no hubo diferencias entre los tratamientos, por lo que se asume que la radiación realizada en la generación Mo no influyo en esta generación (M3), ya que en promedio  fue de 177 días a la cosecha desde la siembra hasta que el grano presente una consistencia dura y con un menor porcentaje de humedad.</w:t>
      </w:r>
    </w:p>
    <w:p w:rsidR="00B67794" w:rsidRPr="00711CC4" w:rsidRDefault="00B67794" w:rsidP="00032094">
      <w:pPr>
        <w:spacing w:line="360" w:lineRule="auto"/>
        <w:jc w:val="both"/>
        <w:rPr>
          <w:rFonts w:ascii="Arial" w:hAnsi="Arial" w:cs="Arial"/>
        </w:rPr>
      </w:pPr>
      <w:r w:rsidRPr="00711CC4">
        <w:rPr>
          <w:rFonts w:ascii="Arial" w:hAnsi="Arial" w:cs="Arial"/>
        </w:rPr>
        <w:t xml:space="preserve">Mujica </w:t>
      </w:r>
      <w:r w:rsidRPr="00711CC4">
        <w:rPr>
          <w:rFonts w:ascii="Arial" w:hAnsi="Arial" w:cs="Arial"/>
          <w:i/>
        </w:rPr>
        <w:t>et al.</w:t>
      </w:r>
      <w:r w:rsidRPr="00711CC4">
        <w:rPr>
          <w:rFonts w:ascii="Arial" w:hAnsi="Arial" w:cs="Arial"/>
        </w:rPr>
        <w:t xml:space="preserve"> (2004),  indican  que  la duración del ciclo fenológico es de 170 a 180 días, cuando el grano tenga un menor de porcentaje de humedad del 14-16%, presentando una consistencia dura y una defoliación de las hojas.</w:t>
      </w:r>
    </w:p>
    <w:p w:rsidR="00B67794" w:rsidRPr="00711CC4" w:rsidRDefault="00B67794" w:rsidP="00032094">
      <w:pPr>
        <w:spacing w:line="360" w:lineRule="auto"/>
        <w:jc w:val="both"/>
        <w:rPr>
          <w:rFonts w:ascii="Arial" w:hAnsi="Arial" w:cs="Arial"/>
        </w:rPr>
      </w:pPr>
      <w:r w:rsidRPr="00711CC4">
        <w:rPr>
          <w:rFonts w:ascii="Arial" w:hAnsi="Arial" w:cs="Arial"/>
        </w:rPr>
        <w:t>El  coeficiente de variación  fue  0.89% con un valor inferior al 30% lo cual indica que hubo un buen manejo de las unidades experimentales. Y por lo tanto los datos son confiables.</w:t>
      </w:r>
    </w:p>
    <w:p w:rsidR="00B67794" w:rsidRPr="00711CC4" w:rsidRDefault="00B67794" w:rsidP="00032094">
      <w:pPr>
        <w:keepNext/>
        <w:keepLines/>
        <w:numPr>
          <w:ilvl w:val="1"/>
          <w:numId w:val="25"/>
        </w:numPr>
        <w:spacing w:before="200" w:after="0" w:line="360" w:lineRule="auto"/>
        <w:jc w:val="both"/>
        <w:outlineLvl w:val="1"/>
        <w:rPr>
          <w:rFonts w:ascii="Arial" w:eastAsiaTheme="majorEastAsia" w:hAnsi="Arial" w:cs="Arial"/>
          <w:b/>
          <w:bCs/>
          <w:color w:val="000000" w:themeColor="text1"/>
        </w:rPr>
      </w:pPr>
      <w:bookmarkStart w:id="41" w:name="_Toc65306581"/>
      <w:r w:rsidRPr="00711CC4">
        <w:rPr>
          <w:rFonts w:ascii="Arial" w:eastAsiaTheme="majorEastAsia" w:hAnsi="Arial" w:cs="Arial"/>
          <w:b/>
          <w:bCs/>
          <w:color w:val="000000" w:themeColor="text1"/>
        </w:rPr>
        <w:t>Variables de cosecha</w:t>
      </w:r>
      <w:bookmarkEnd w:id="41"/>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bookmarkStart w:id="42" w:name="_Toc65306582"/>
      <w:r w:rsidRPr="00711CC4">
        <w:rPr>
          <w:rFonts w:ascii="Arial" w:eastAsiaTheme="majorEastAsia" w:hAnsi="Arial" w:cs="Arial"/>
          <w:b/>
          <w:bCs/>
          <w:color w:val="000000" w:themeColor="text1"/>
        </w:rPr>
        <w:t>Altura de la planta</w:t>
      </w:r>
      <w:bookmarkEnd w:id="42"/>
    </w:p>
    <w:p w:rsidR="00176500" w:rsidRDefault="00176500" w:rsidP="00032094">
      <w:pPr>
        <w:spacing w:line="360" w:lineRule="auto"/>
        <w:jc w:val="both"/>
        <w:rPr>
          <w:rFonts w:ascii="Arial" w:hAnsi="Arial" w:cs="Arial"/>
        </w:rPr>
      </w:pPr>
    </w:p>
    <w:p w:rsidR="00B67794" w:rsidRPr="00711CC4" w:rsidRDefault="00176500" w:rsidP="00032094">
      <w:pPr>
        <w:spacing w:line="360" w:lineRule="auto"/>
        <w:jc w:val="both"/>
        <w:rPr>
          <w:rFonts w:ascii="Arial" w:hAnsi="Arial" w:cs="Arial"/>
        </w:rPr>
      </w:pPr>
      <w:r>
        <w:rPr>
          <w:rFonts w:ascii="Arial" w:hAnsi="Arial" w:cs="Arial"/>
        </w:rPr>
        <w:t>En el cuadro 6</w:t>
      </w:r>
      <w:r w:rsidR="00B67794" w:rsidRPr="00711CC4">
        <w:rPr>
          <w:rFonts w:ascii="Arial" w:hAnsi="Arial" w:cs="Arial"/>
        </w:rPr>
        <w:t>, se presenta el análisis de varianza para la altura de  planta donde se muestra que las diferencias observadas entre bloques no fueron estadísticamente significativas; sin embargo, las diferencias observadas entre los tratamientos son estadísticamente significativas.</w:t>
      </w:r>
    </w:p>
    <w:p w:rsidR="00B67794" w:rsidRPr="00711CC4" w:rsidRDefault="00B67794" w:rsidP="00FB351E">
      <w:pPr>
        <w:keepNext/>
        <w:spacing w:line="360" w:lineRule="auto"/>
        <w:jc w:val="center"/>
        <w:rPr>
          <w:rFonts w:ascii="Arial" w:hAnsi="Arial" w:cs="Arial"/>
          <w:b/>
          <w:bCs/>
          <w:color w:val="000000" w:themeColor="text1"/>
        </w:rPr>
      </w:pPr>
      <w:bookmarkStart w:id="43" w:name="_Toc57032777"/>
      <w:bookmarkStart w:id="44" w:name="_Toc57857656"/>
      <w:r w:rsidRPr="00711CC4">
        <w:rPr>
          <w:rFonts w:ascii="Arial" w:hAnsi="Arial" w:cs="Arial"/>
          <w:b/>
          <w:bCs/>
          <w:color w:val="000000" w:themeColor="text1"/>
        </w:rPr>
        <w:t xml:space="preserve">Cuadro  </w:t>
      </w:r>
      <w:r w:rsidR="00176500">
        <w:rPr>
          <w:rFonts w:ascii="Arial" w:hAnsi="Arial" w:cs="Arial"/>
          <w:b/>
          <w:bCs/>
          <w:color w:val="000000" w:themeColor="text1"/>
        </w:rPr>
        <w:t>6</w:t>
      </w:r>
      <w:r w:rsidRPr="00711CC4">
        <w:rPr>
          <w:rFonts w:ascii="Arial" w:hAnsi="Arial" w:cs="Arial"/>
          <w:b/>
          <w:bCs/>
          <w:color w:val="000000" w:themeColor="text1"/>
        </w:rPr>
        <w:t>. Análisis de varianza para la altura de la planta</w:t>
      </w:r>
      <w:bookmarkEnd w:id="43"/>
      <w:bookmarkEnd w:id="44"/>
    </w:p>
    <w:tbl>
      <w:tblPr>
        <w:tblW w:w="8447" w:type="dxa"/>
        <w:jc w:val="center"/>
        <w:tblInd w:w="55" w:type="dxa"/>
        <w:tblCellMar>
          <w:left w:w="70" w:type="dxa"/>
          <w:right w:w="70" w:type="dxa"/>
        </w:tblCellMar>
        <w:tblLook w:val="04A0" w:firstRow="1" w:lastRow="0" w:firstColumn="1" w:lastColumn="0" w:noHBand="0" w:noVBand="1"/>
      </w:tblPr>
      <w:tblGrid>
        <w:gridCol w:w="2642"/>
        <w:gridCol w:w="540"/>
        <w:gridCol w:w="1559"/>
        <w:gridCol w:w="1276"/>
        <w:gridCol w:w="741"/>
        <w:gridCol w:w="994"/>
        <w:gridCol w:w="695"/>
      </w:tblGrid>
      <w:tr w:rsidR="00B67794" w:rsidRPr="00711CC4" w:rsidTr="00077A07">
        <w:trPr>
          <w:trHeight w:val="332"/>
          <w:jc w:val="center"/>
        </w:trPr>
        <w:tc>
          <w:tcPr>
            <w:tcW w:w="2642" w:type="dxa"/>
            <w:tcBorders>
              <w:top w:val="single" w:sz="8" w:space="0" w:color="auto"/>
              <w:left w:val="single" w:sz="8" w:space="0" w:color="auto"/>
              <w:bottom w:val="single" w:sz="8" w:space="0" w:color="auto"/>
              <w:right w:val="single" w:sz="8" w:space="0" w:color="auto"/>
            </w:tcBorders>
            <w:shd w:val="clear" w:color="000000" w:fill="E5B8B7"/>
            <w:noWrap/>
            <w:vAlign w:val="center"/>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F.V</w:t>
            </w:r>
          </w:p>
        </w:tc>
        <w:tc>
          <w:tcPr>
            <w:tcW w:w="540" w:type="dxa"/>
            <w:tcBorders>
              <w:top w:val="single" w:sz="8" w:space="0" w:color="auto"/>
              <w:left w:val="nil"/>
              <w:bottom w:val="single" w:sz="8" w:space="0" w:color="auto"/>
              <w:right w:val="single" w:sz="8" w:space="0" w:color="auto"/>
            </w:tcBorders>
            <w:shd w:val="clear" w:color="000000" w:fill="E5B8B7"/>
            <w:noWrap/>
            <w:vAlign w:val="center"/>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G.L</w:t>
            </w:r>
          </w:p>
        </w:tc>
        <w:tc>
          <w:tcPr>
            <w:tcW w:w="1559" w:type="dxa"/>
            <w:tcBorders>
              <w:top w:val="single" w:sz="8" w:space="0" w:color="auto"/>
              <w:left w:val="nil"/>
              <w:bottom w:val="single" w:sz="8" w:space="0" w:color="auto"/>
              <w:right w:val="single" w:sz="8" w:space="0" w:color="auto"/>
            </w:tcBorders>
            <w:shd w:val="clear" w:color="000000" w:fill="E5B8B7"/>
            <w:noWrap/>
            <w:vAlign w:val="center"/>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S.C</w:t>
            </w:r>
          </w:p>
        </w:tc>
        <w:tc>
          <w:tcPr>
            <w:tcW w:w="1276" w:type="dxa"/>
            <w:tcBorders>
              <w:top w:val="single" w:sz="8" w:space="0" w:color="auto"/>
              <w:left w:val="nil"/>
              <w:bottom w:val="single" w:sz="8" w:space="0" w:color="auto"/>
              <w:right w:val="single" w:sz="8" w:space="0" w:color="auto"/>
            </w:tcBorders>
            <w:shd w:val="clear" w:color="000000" w:fill="E5B8B7"/>
            <w:noWrap/>
            <w:vAlign w:val="center"/>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C.M</w:t>
            </w:r>
          </w:p>
        </w:tc>
        <w:tc>
          <w:tcPr>
            <w:tcW w:w="741" w:type="dxa"/>
            <w:tcBorders>
              <w:top w:val="single" w:sz="8" w:space="0" w:color="auto"/>
              <w:left w:val="nil"/>
              <w:bottom w:val="single" w:sz="8" w:space="0" w:color="auto"/>
              <w:right w:val="single" w:sz="8" w:space="0" w:color="auto"/>
            </w:tcBorders>
            <w:shd w:val="clear" w:color="000000" w:fill="E5B8B7"/>
            <w:noWrap/>
            <w:vAlign w:val="center"/>
            <w:hideMark/>
          </w:tcPr>
          <w:p w:rsidR="00B67794" w:rsidRPr="00711CC4" w:rsidRDefault="00B67794" w:rsidP="00032094">
            <w:pPr>
              <w:spacing w:after="0" w:line="360" w:lineRule="auto"/>
              <w:jc w:val="both"/>
              <w:rPr>
                <w:rFonts w:ascii="Arial" w:eastAsia="Times New Roman" w:hAnsi="Arial" w:cs="Arial"/>
                <w:b/>
                <w:bCs/>
                <w:color w:val="000000"/>
                <w:lang w:eastAsia="es-ES"/>
              </w:rPr>
            </w:pPr>
            <w:proofErr w:type="spellStart"/>
            <w:r w:rsidRPr="00711CC4">
              <w:rPr>
                <w:rFonts w:ascii="Arial" w:eastAsia="Times New Roman" w:hAnsi="Arial" w:cs="Arial"/>
                <w:b/>
                <w:bCs/>
                <w:color w:val="000000"/>
                <w:lang w:eastAsia="es-ES"/>
              </w:rPr>
              <w:t>Fc</w:t>
            </w:r>
            <w:proofErr w:type="spellEnd"/>
          </w:p>
        </w:tc>
        <w:tc>
          <w:tcPr>
            <w:tcW w:w="994" w:type="dxa"/>
            <w:tcBorders>
              <w:top w:val="single" w:sz="8" w:space="0" w:color="auto"/>
              <w:left w:val="nil"/>
              <w:bottom w:val="single" w:sz="8" w:space="0" w:color="auto"/>
              <w:right w:val="single" w:sz="8" w:space="0" w:color="auto"/>
            </w:tcBorders>
            <w:shd w:val="clear" w:color="000000" w:fill="E5B8B7"/>
            <w:noWrap/>
            <w:vAlign w:val="center"/>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Ft(0,05)</w:t>
            </w:r>
          </w:p>
        </w:tc>
        <w:tc>
          <w:tcPr>
            <w:tcW w:w="695" w:type="dxa"/>
            <w:tcBorders>
              <w:top w:val="single" w:sz="8" w:space="0" w:color="auto"/>
              <w:left w:val="nil"/>
              <w:bottom w:val="single" w:sz="8" w:space="0" w:color="auto"/>
              <w:right w:val="single" w:sz="8" w:space="0" w:color="auto"/>
            </w:tcBorders>
            <w:shd w:val="clear" w:color="000000" w:fill="E5B8B7"/>
            <w:noWrap/>
            <w:vAlign w:val="center"/>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 </w:t>
            </w:r>
          </w:p>
        </w:tc>
      </w:tr>
      <w:tr w:rsidR="00B67794" w:rsidRPr="00711CC4" w:rsidTr="00B67794">
        <w:trPr>
          <w:trHeight w:val="303"/>
          <w:jc w:val="center"/>
        </w:trPr>
        <w:tc>
          <w:tcPr>
            <w:tcW w:w="2642"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54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559"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2,34</w:t>
            </w:r>
          </w:p>
        </w:tc>
        <w:tc>
          <w:tcPr>
            <w:tcW w:w="1276"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0,78</w:t>
            </w:r>
          </w:p>
        </w:tc>
        <w:tc>
          <w:tcPr>
            <w:tcW w:w="74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0,036</w:t>
            </w:r>
          </w:p>
        </w:tc>
        <w:tc>
          <w:tcPr>
            <w:tcW w:w="994"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0,99</w:t>
            </w:r>
          </w:p>
        </w:tc>
        <w:tc>
          <w:tcPr>
            <w:tcW w:w="695"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NS</w:t>
            </w:r>
          </w:p>
        </w:tc>
      </w:tr>
      <w:tr w:rsidR="00B67794" w:rsidRPr="00711CC4" w:rsidTr="00B67794">
        <w:trPr>
          <w:trHeight w:val="328"/>
          <w:jc w:val="center"/>
        </w:trPr>
        <w:tc>
          <w:tcPr>
            <w:tcW w:w="2642"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54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559"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261,855</w:t>
            </w:r>
          </w:p>
        </w:tc>
        <w:tc>
          <w:tcPr>
            <w:tcW w:w="1276" w:type="dxa"/>
            <w:tcBorders>
              <w:top w:val="nil"/>
              <w:left w:val="nil"/>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87,285</w:t>
            </w:r>
          </w:p>
        </w:tc>
        <w:tc>
          <w:tcPr>
            <w:tcW w:w="74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4,07</w:t>
            </w:r>
          </w:p>
        </w:tc>
        <w:tc>
          <w:tcPr>
            <w:tcW w:w="994"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0,044</w:t>
            </w:r>
          </w:p>
        </w:tc>
        <w:tc>
          <w:tcPr>
            <w:tcW w:w="695"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28"/>
          <w:jc w:val="center"/>
        </w:trPr>
        <w:tc>
          <w:tcPr>
            <w:tcW w:w="2642"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54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559"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193,005</w:t>
            </w:r>
          </w:p>
        </w:tc>
        <w:tc>
          <w:tcPr>
            <w:tcW w:w="1276"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21,445</w:t>
            </w:r>
          </w:p>
        </w:tc>
        <w:tc>
          <w:tcPr>
            <w:tcW w:w="741"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994"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95"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515"/>
          <w:jc w:val="center"/>
        </w:trPr>
        <w:tc>
          <w:tcPr>
            <w:tcW w:w="2642"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lastRenderedPageBreak/>
              <w:t>Total</w:t>
            </w:r>
          </w:p>
        </w:tc>
        <w:tc>
          <w:tcPr>
            <w:tcW w:w="54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559"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457,2</w:t>
            </w:r>
          </w:p>
        </w:tc>
        <w:tc>
          <w:tcPr>
            <w:tcW w:w="1276"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741"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994"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95"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077A07" w:rsidP="00032094">
      <w:pPr>
        <w:spacing w:line="360" w:lineRule="auto"/>
        <w:jc w:val="both"/>
        <w:rPr>
          <w:rFonts w:ascii="Arial" w:hAnsi="Arial" w:cs="Arial"/>
        </w:rPr>
      </w:pPr>
      <w:r>
        <w:rPr>
          <w:rFonts w:ascii="Arial" w:hAnsi="Arial" w:cs="Arial"/>
        </w:rPr>
        <w:t xml:space="preserve">FV=Fuente de variación  </w:t>
      </w:r>
      <w:r w:rsidR="00B67794" w:rsidRPr="00711CC4">
        <w:rPr>
          <w:rFonts w:ascii="Arial" w:hAnsi="Arial" w:cs="Arial"/>
        </w:rPr>
        <w:t>GL=Grados de liber</w:t>
      </w:r>
      <w:r>
        <w:rPr>
          <w:rFonts w:ascii="Arial" w:hAnsi="Arial" w:cs="Arial"/>
        </w:rPr>
        <w:t>tad     NS= No significativo</w:t>
      </w:r>
      <w:r w:rsidR="00B67794" w:rsidRPr="00711CC4">
        <w:rPr>
          <w:rFonts w:ascii="Arial" w:hAnsi="Arial" w:cs="Arial"/>
        </w:rPr>
        <w:t xml:space="preserve"> *= significativo     </w:t>
      </w:r>
    </w:p>
    <w:p w:rsidR="00B67794" w:rsidRPr="00711CC4" w:rsidRDefault="00B67794" w:rsidP="00077A07">
      <w:pPr>
        <w:spacing w:line="360" w:lineRule="auto"/>
        <w:jc w:val="both"/>
        <w:rPr>
          <w:rFonts w:ascii="Arial" w:hAnsi="Arial" w:cs="Arial"/>
        </w:rPr>
      </w:pPr>
      <w:r w:rsidRPr="00711CC4">
        <w:rPr>
          <w:rFonts w:ascii="Arial" w:hAnsi="Arial" w:cs="Arial"/>
        </w:rPr>
        <w:t>Un coeficiente de variación  de  12.28 %,  refleja que los datos son confiables, existiendo un buen manejo de las unidades experimental</w:t>
      </w:r>
      <w:r w:rsidR="00032094" w:rsidRPr="00711CC4">
        <w:rPr>
          <w:rFonts w:ascii="Arial" w:hAnsi="Arial" w:cs="Arial"/>
        </w:rPr>
        <w:t>es.</w:t>
      </w:r>
      <w:r w:rsidRPr="00711CC4">
        <w:rPr>
          <w:rFonts w:ascii="Arial" w:hAnsi="Arial" w:cs="Arial"/>
        </w:rPr>
        <w:tab/>
      </w:r>
    </w:p>
    <w:p w:rsidR="00B67794" w:rsidRPr="00711CC4" w:rsidRDefault="00B67794" w:rsidP="002644A1">
      <w:pPr>
        <w:keepNext/>
        <w:tabs>
          <w:tab w:val="left" w:pos="2768"/>
        </w:tabs>
        <w:spacing w:line="360" w:lineRule="auto"/>
        <w:jc w:val="center"/>
        <w:rPr>
          <w:rFonts w:ascii="Arial" w:hAnsi="Arial" w:cs="Arial"/>
        </w:rPr>
      </w:pPr>
      <w:r w:rsidRPr="00711CC4">
        <w:rPr>
          <w:rFonts w:ascii="Arial" w:hAnsi="Arial" w:cs="Arial"/>
          <w:noProof/>
          <w:lang w:eastAsia="es-ES"/>
        </w:rPr>
        <w:drawing>
          <wp:inline distT="0" distB="0" distL="0" distR="0" wp14:anchorId="5E24D1D9" wp14:editId="45936200">
            <wp:extent cx="5098774" cy="2256182"/>
            <wp:effectExtent l="0" t="0" r="26035" b="1079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67794" w:rsidRPr="00711CC4" w:rsidRDefault="00B67794" w:rsidP="002644A1">
      <w:pPr>
        <w:spacing w:line="360" w:lineRule="auto"/>
        <w:jc w:val="center"/>
        <w:rPr>
          <w:rFonts w:ascii="Arial" w:hAnsi="Arial" w:cs="Arial"/>
          <w:b/>
          <w:bCs/>
          <w:color w:val="000000" w:themeColor="text1"/>
        </w:rPr>
      </w:pPr>
      <w:bookmarkStart w:id="45" w:name="_Toc64025906"/>
      <w:r w:rsidRPr="00711CC4">
        <w:rPr>
          <w:rFonts w:ascii="Arial" w:hAnsi="Arial" w:cs="Arial"/>
          <w:b/>
          <w:bCs/>
          <w:color w:val="000000" w:themeColor="text1"/>
        </w:rPr>
        <w:t>Figura</w:t>
      </w:r>
      <w:r w:rsidR="002644A1">
        <w:rPr>
          <w:rFonts w:ascii="Arial" w:hAnsi="Arial" w:cs="Arial"/>
          <w:b/>
          <w:bCs/>
          <w:color w:val="000000" w:themeColor="text1"/>
        </w:rPr>
        <w:t xml:space="preserve"> 4</w:t>
      </w:r>
      <w:r w:rsidRPr="00711CC4">
        <w:rPr>
          <w:rFonts w:ascii="Arial" w:hAnsi="Arial" w:cs="Arial"/>
          <w:b/>
          <w:bCs/>
          <w:color w:val="000000" w:themeColor="text1"/>
        </w:rPr>
        <w:t>. Comparación de medias para la altura de plantas, de los genotipos de la generación M3 de quinua. (Duncan α=0.05)</w:t>
      </w:r>
      <w:bookmarkEnd w:id="45"/>
    </w:p>
    <w:p w:rsidR="00B67794" w:rsidRPr="00711CC4" w:rsidRDefault="002644A1" w:rsidP="00032094">
      <w:pPr>
        <w:spacing w:line="360" w:lineRule="auto"/>
        <w:jc w:val="both"/>
        <w:rPr>
          <w:rFonts w:ascii="Arial" w:hAnsi="Arial" w:cs="Arial"/>
        </w:rPr>
      </w:pPr>
      <w:r>
        <w:rPr>
          <w:rFonts w:ascii="Arial" w:hAnsi="Arial" w:cs="Arial"/>
        </w:rPr>
        <w:t>En el figura 4</w:t>
      </w:r>
      <w:r w:rsidR="00B67794" w:rsidRPr="00711CC4">
        <w:rPr>
          <w:rFonts w:ascii="Arial" w:hAnsi="Arial" w:cs="Arial"/>
        </w:rPr>
        <w:t>, con la prueba Duncan (confiabilidad del 5%) se  evidenció   tres grupos. En el primer grupo se encuentra el tratamiento testigo con un promedio de 42,475 cm. En el segundo grupo con medias similares se encuentran los tratamientos T3 (G-15)  y T2 (G-10) con promedios de 38,075 y 38,95 cm. Finalmente tenemos al tratamiento T1 (G-7) con un promedio menor de 31.300 cm. Podemos ver  que la generación M3 los genotipos presentaron un tamaño menor  respecto al testigo  probablemente sea por efectos de la mutación en interacción con el medio ambiente.</w:t>
      </w:r>
    </w:p>
    <w:p w:rsidR="00B67794" w:rsidRPr="00711CC4" w:rsidRDefault="00B67794" w:rsidP="00032094">
      <w:pPr>
        <w:spacing w:line="360" w:lineRule="auto"/>
        <w:jc w:val="both"/>
        <w:rPr>
          <w:rFonts w:ascii="Arial" w:hAnsi="Arial" w:cs="Arial"/>
        </w:rPr>
      </w:pPr>
      <w:r w:rsidRPr="00711CC4">
        <w:rPr>
          <w:rFonts w:ascii="Arial" w:hAnsi="Arial" w:cs="Arial"/>
        </w:rPr>
        <w:t xml:space="preserve">Rojas  </w:t>
      </w:r>
      <w:r w:rsidRPr="00711CC4">
        <w:rPr>
          <w:rFonts w:ascii="Arial" w:hAnsi="Arial" w:cs="Arial"/>
          <w:i/>
        </w:rPr>
        <w:t>et al</w:t>
      </w:r>
      <w:r w:rsidRPr="00711CC4">
        <w:rPr>
          <w:rFonts w:ascii="Arial" w:hAnsi="Arial" w:cs="Arial"/>
        </w:rPr>
        <w:t xml:space="preserve">. (2010) indican  que la altura en la quinua varía de 1 a 2 m dependiendo de la variedad y su adaptación a las diferentes condiciones </w:t>
      </w:r>
      <w:proofErr w:type="spellStart"/>
      <w:r w:rsidRPr="00711CC4">
        <w:rPr>
          <w:rFonts w:ascii="Arial" w:hAnsi="Arial" w:cs="Arial"/>
        </w:rPr>
        <w:t>edafoclimáticas</w:t>
      </w:r>
      <w:proofErr w:type="spellEnd"/>
      <w:r w:rsidRPr="00711CC4">
        <w:rPr>
          <w:rFonts w:ascii="Arial" w:hAnsi="Arial" w:cs="Arial"/>
        </w:rPr>
        <w:t xml:space="preserve">. </w:t>
      </w:r>
    </w:p>
    <w:p w:rsidR="00B67794" w:rsidRPr="00711CC4" w:rsidRDefault="00B67794" w:rsidP="00032094">
      <w:pPr>
        <w:spacing w:line="360" w:lineRule="auto"/>
        <w:jc w:val="both"/>
        <w:rPr>
          <w:rFonts w:ascii="Arial" w:hAnsi="Arial" w:cs="Arial"/>
        </w:rPr>
      </w:pPr>
      <w:r w:rsidRPr="00711CC4">
        <w:rPr>
          <w:rFonts w:ascii="Arial" w:hAnsi="Arial" w:cs="Arial"/>
        </w:rPr>
        <w:t xml:space="preserve">Según investigaciones realizadas en el cultivo de quinua irradiada con rayos gamma Co-60 por Mamani (2012)  da a conocer  que la disminución de altura de la planta se lograría observar aún en otras generaciones, esto debido a la dosis alta realizada en la generación M1 obteniéndose alturas de 27,46 cm. En este presente trabajo de investigación generación M3, no se observó características similares respecto a la </w:t>
      </w:r>
      <w:r w:rsidRPr="00711CC4">
        <w:rPr>
          <w:rFonts w:ascii="Arial" w:hAnsi="Arial" w:cs="Arial"/>
        </w:rPr>
        <w:lastRenderedPageBreak/>
        <w:t xml:space="preserve">altura  con lo que menciona el autor, debido a la altura similar  entre los genotipos con el testigo una de las grandes causas probablemente sea por las condiciones ambientales presentes durante su campaña agrícola.   </w:t>
      </w:r>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bookmarkStart w:id="46" w:name="_Toc65306583"/>
      <w:r w:rsidRPr="00711CC4">
        <w:rPr>
          <w:rFonts w:ascii="Arial" w:eastAsiaTheme="majorEastAsia" w:hAnsi="Arial" w:cs="Arial"/>
          <w:b/>
          <w:bCs/>
          <w:color w:val="000000" w:themeColor="text1"/>
        </w:rPr>
        <w:t>Longitud de panoja</w:t>
      </w:r>
      <w:bookmarkEnd w:id="46"/>
    </w:p>
    <w:p w:rsidR="00176500" w:rsidRDefault="00176500"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b/>
        </w:rPr>
      </w:pPr>
      <w:r w:rsidRPr="00711CC4">
        <w:rPr>
          <w:rFonts w:ascii="Arial" w:hAnsi="Arial" w:cs="Arial"/>
        </w:rPr>
        <w:t xml:space="preserve">De acuerdo con el </w:t>
      </w:r>
      <w:r w:rsidR="00176500">
        <w:rPr>
          <w:rFonts w:ascii="Arial" w:hAnsi="Arial" w:cs="Arial"/>
        </w:rPr>
        <w:t>análisis de varianza el cuadro 7</w:t>
      </w:r>
      <w:r w:rsidRPr="00711CC4">
        <w:rPr>
          <w:rFonts w:ascii="Arial" w:hAnsi="Arial" w:cs="Arial"/>
        </w:rPr>
        <w:t>, las diferencias entre bloques y entre tratamientos no fueron estadísticamente significativas. Por tanto no existe diferencia entre genotipos y el  testigo para la longitud de panoja.</w:t>
      </w:r>
    </w:p>
    <w:p w:rsidR="00B67794" w:rsidRPr="00711CC4" w:rsidRDefault="00B67794" w:rsidP="00176500">
      <w:pPr>
        <w:keepNext/>
        <w:spacing w:line="360" w:lineRule="auto"/>
        <w:jc w:val="center"/>
        <w:rPr>
          <w:rFonts w:ascii="Arial" w:hAnsi="Arial" w:cs="Arial"/>
          <w:b/>
          <w:bCs/>
          <w:color w:val="000000" w:themeColor="text1"/>
        </w:rPr>
      </w:pPr>
      <w:bookmarkStart w:id="47" w:name="_Toc57032778"/>
      <w:bookmarkStart w:id="48" w:name="_Toc57857657"/>
      <w:r w:rsidRPr="00711CC4">
        <w:rPr>
          <w:rFonts w:ascii="Arial" w:hAnsi="Arial" w:cs="Arial"/>
          <w:b/>
          <w:bCs/>
          <w:color w:val="000000" w:themeColor="text1"/>
        </w:rPr>
        <w:t xml:space="preserve">Cuadro  </w:t>
      </w:r>
      <w:r w:rsidR="00176500">
        <w:rPr>
          <w:rFonts w:ascii="Arial" w:hAnsi="Arial" w:cs="Arial"/>
          <w:b/>
          <w:bCs/>
          <w:color w:val="000000" w:themeColor="text1"/>
        </w:rPr>
        <w:t>7</w:t>
      </w:r>
      <w:r w:rsidRPr="00711CC4">
        <w:rPr>
          <w:rFonts w:ascii="Arial" w:hAnsi="Arial" w:cs="Arial"/>
          <w:b/>
          <w:bCs/>
          <w:color w:val="000000" w:themeColor="text1"/>
        </w:rPr>
        <w:t>. Análisis de varianza para la longitud de panoja</w:t>
      </w:r>
      <w:bookmarkEnd w:id="47"/>
      <w:bookmarkEnd w:id="48"/>
    </w:p>
    <w:tbl>
      <w:tblPr>
        <w:tblW w:w="8520" w:type="dxa"/>
        <w:jc w:val="center"/>
        <w:tblInd w:w="55" w:type="dxa"/>
        <w:tblCellMar>
          <w:left w:w="70" w:type="dxa"/>
          <w:right w:w="70" w:type="dxa"/>
        </w:tblCellMar>
        <w:tblLook w:val="04A0" w:firstRow="1" w:lastRow="0" w:firstColumn="1" w:lastColumn="0" w:noHBand="0" w:noVBand="1"/>
      </w:tblPr>
      <w:tblGrid>
        <w:gridCol w:w="2418"/>
        <w:gridCol w:w="642"/>
        <w:gridCol w:w="1200"/>
        <w:gridCol w:w="1200"/>
        <w:gridCol w:w="1200"/>
        <w:gridCol w:w="1200"/>
        <w:gridCol w:w="660"/>
      </w:tblGrid>
      <w:tr w:rsidR="00B67794" w:rsidRPr="00711CC4" w:rsidTr="00B67794">
        <w:trPr>
          <w:trHeight w:val="452"/>
          <w:jc w:val="center"/>
        </w:trPr>
        <w:tc>
          <w:tcPr>
            <w:tcW w:w="241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F.V</w:t>
            </w:r>
          </w:p>
        </w:tc>
        <w:tc>
          <w:tcPr>
            <w:tcW w:w="642"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G.L</w:t>
            </w:r>
          </w:p>
        </w:tc>
        <w:tc>
          <w:tcPr>
            <w:tcW w:w="1200"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S.C</w:t>
            </w:r>
          </w:p>
        </w:tc>
        <w:tc>
          <w:tcPr>
            <w:tcW w:w="1200"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C.M</w:t>
            </w:r>
          </w:p>
        </w:tc>
        <w:tc>
          <w:tcPr>
            <w:tcW w:w="1200"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proofErr w:type="spellStart"/>
            <w:r w:rsidRPr="00711CC4">
              <w:rPr>
                <w:rFonts w:ascii="Arial" w:eastAsia="Times New Roman" w:hAnsi="Arial" w:cs="Arial"/>
                <w:b/>
                <w:bCs/>
                <w:color w:val="000000"/>
                <w:lang w:eastAsia="es-ES"/>
              </w:rPr>
              <w:t>Fc</w:t>
            </w:r>
            <w:proofErr w:type="spellEnd"/>
          </w:p>
        </w:tc>
        <w:tc>
          <w:tcPr>
            <w:tcW w:w="1200"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Ft(0,05)</w:t>
            </w:r>
          </w:p>
        </w:tc>
        <w:tc>
          <w:tcPr>
            <w:tcW w:w="660"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 </w:t>
            </w:r>
          </w:p>
        </w:tc>
      </w:tr>
      <w:tr w:rsidR="00B67794" w:rsidRPr="00711CC4" w:rsidTr="00B67794">
        <w:trPr>
          <w:trHeight w:val="495"/>
          <w:jc w:val="center"/>
        </w:trPr>
        <w:tc>
          <w:tcPr>
            <w:tcW w:w="2418"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64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21,188</w:t>
            </w:r>
          </w:p>
        </w:tc>
        <w:tc>
          <w:tcPr>
            <w:tcW w:w="120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7,063</w:t>
            </w:r>
          </w:p>
        </w:tc>
        <w:tc>
          <w:tcPr>
            <w:tcW w:w="120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1,9</w:t>
            </w:r>
          </w:p>
        </w:tc>
        <w:tc>
          <w:tcPr>
            <w:tcW w:w="120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0,19</w:t>
            </w:r>
          </w:p>
        </w:tc>
        <w:tc>
          <w:tcPr>
            <w:tcW w:w="66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Ns</w:t>
            </w:r>
            <w:proofErr w:type="spellEnd"/>
          </w:p>
        </w:tc>
      </w:tr>
      <w:tr w:rsidR="00B67794" w:rsidRPr="00711CC4" w:rsidTr="00B67794">
        <w:trPr>
          <w:trHeight w:val="300"/>
          <w:jc w:val="center"/>
        </w:trPr>
        <w:tc>
          <w:tcPr>
            <w:tcW w:w="2418"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64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16,664</w:t>
            </w:r>
          </w:p>
        </w:tc>
        <w:tc>
          <w:tcPr>
            <w:tcW w:w="1200" w:type="dxa"/>
            <w:tcBorders>
              <w:top w:val="nil"/>
              <w:left w:val="nil"/>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5,555</w:t>
            </w:r>
          </w:p>
        </w:tc>
        <w:tc>
          <w:tcPr>
            <w:tcW w:w="120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20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0,27</w:t>
            </w:r>
          </w:p>
        </w:tc>
        <w:tc>
          <w:tcPr>
            <w:tcW w:w="66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Ns</w:t>
            </w:r>
            <w:proofErr w:type="spellEnd"/>
          </w:p>
        </w:tc>
      </w:tr>
      <w:tr w:rsidR="00B67794" w:rsidRPr="00711CC4" w:rsidTr="00B67794">
        <w:trPr>
          <w:trHeight w:val="300"/>
          <w:jc w:val="center"/>
        </w:trPr>
        <w:tc>
          <w:tcPr>
            <w:tcW w:w="2418"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64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20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33,118</w:t>
            </w:r>
          </w:p>
        </w:tc>
        <w:tc>
          <w:tcPr>
            <w:tcW w:w="120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3,680</w:t>
            </w:r>
          </w:p>
        </w:tc>
        <w:tc>
          <w:tcPr>
            <w:tcW w:w="1200"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6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480"/>
          <w:jc w:val="center"/>
        </w:trPr>
        <w:tc>
          <w:tcPr>
            <w:tcW w:w="2418"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64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20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70,970</w:t>
            </w:r>
          </w:p>
        </w:tc>
        <w:tc>
          <w:tcPr>
            <w:tcW w:w="1200"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6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line="360" w:lineRule="auto"/>
        <w:jc w:val="both"/>
        <w:rPr>
          <w:rFonts w:ascii="Arial" w:hAnsi="Arial" w:cs="Arial"/>
        </w:rPr>
      </w:pPr>
      <w:r w:rsidRPr="00711CC4">
        <w:rPr>
          <w:rFonts w:ascii="Arial" w:hAnsi="Arial" w:cs="Arial"/>
        </w:rPr>
        <w:t xml:space="preserve">FV=Fuente de variación        GL=Grados de libertad     NS= No significativo    </w:t>
      </w:r>
    </w:p>
    <w:p w:rsidR="00B67794" w:rsidRPr="00711CC4" w:rsidRDefault="00B67794" w:rsidP="00032094">
      <w:pPr>
        <w:spacing w:line="360" w:lineRule="auto"/>
        <w:jc w:val="both"/>
        <w:rPr>
          <w:rFonts w:ascii="Arial" w:hAnsi="Arial" w:cs="Arial"/>
        </w:rPr>
      </w:pPr>
      <w:r w:rsidRPr="00711CC4">
        <w:rPr>
          <w:rFonts w:ascii="Arial" w:hAnsi="Arial" w:cs="Arial"/>
        </w:rPr>
        <w:t>El  coeficiente de variación fue  de 14,51 %  el cual se encuentra en el rango aceptable para los trabajos agronómicos en campo.</w:t>
      </w:r>
    </w:p>
    <w:p w:rsidR="00B67794" w:rsidRPr="00711CC4" w:rsidRDefault="00B67794" w:rsidP="00032094">
      <w:pPr>
        <w:spacing w:line="360" w:lineRule="auto"/>
        <w:jc w:val="both"/>
        <w:rPr>
          <w:rFonts w:ascii="Arial" w:hAnsi="Arial" w:cs="Arial"/>
        </w:rPr>
      </w:pPr>
      <w:r w:rsidRPr="00711CC4">
        <w:rPr>
          <w:rFonts w:ascii="Arial" w:hAnsi="Arial" w:cs="Arial"/>
        </w:rPr>
        <w:t xml:space="preserve">El tamaño de panoja fue similar, siendo   el T1 (genotipo 7)   con un promedio de 14,90 cm,  el  Testigo  T2 (genotipo 10)  y T3 (genotipo 15) con promedios  de 13,19 cm, 11.65cm y 13,12 cm respectivamente. </w:t>
      </w:r>
    </w:p>
    <w:p w:rsidR="00B67794" w:rsidRPr="00711CC4" w:rsidRDefault="00B67794" w:rsidP="00032094">
      <w:pPr>
        <w:spacing w:line="360" w:lineRule="auto"/>
        <w:jc w:val="both"/>
        <w:rPr>
          <w:rFonts w:ascii="Arial" w:hAnsi="Arial" w:cs="Arial"/>
        </w:rPr>
      </w:pPr>
      <w:r w:rsidRPr="00711CC4">
        <w:rPr>
          <w:rFonts w:ascii="Arial" w:hAnsi="Arial" w:cs="Arial"/>
        </w:rPr>
        <w:t>Según Gómez y Aguilar (2016), la longitud de panoja varía dependiendo de los genotipos y factores ambientales tomándose un promedio de 15 a 70 cm.</w:t>
      </w:r>
    </w:p>
    <w:p w:rsidR="00B67794" w:rsidRPr="00711CC4" w:rsidRDefault="00B67794" w:rsidP="00032094">
      <w:pPr>
        <w:spacing w:line="360" w:lineRule="auto"/>
        <w:jc w:val="both"/>
        <w:rPr>
          <w:rFonts w:ascii="Arial" w:hAnsi="Arial" w:cs="Arial"/>
        </w:rPr>
      </w:pPr>
      <w:r w:rsidRPr="00711CC4">
        <w:rPr>
          <w:rFonts w:ascii="Arial" w:hAnsi="Arial" w:cs="Arial"/>
        </w:rPr>
        <w:t xml:space="preserve">Las mutaciones inducidas con rayos gamma con dosis de 150 Gy, 250 Gy y 350 Gy  presentan mayores modificaciones de características morfológicas en la generación M1 a diferencia de la generación M2 que presenta diferencias en altura de plantas, longitud de panoja, ciclo de vida y color de tallos, de manera que en la generación M3  observaron las mismas modificaciones que en la anterior generación conservando la altura de la planta, color de grano (Gómez y </w:t>
      </w:r>
      <w:proofErr w:type="spellStart"/>
      <w:r w:rsidRPr="00711CC4">
        <w:rPr>
          <w:rFonts w:ascii="Arial" w:hAnsi="Arial" w:cs="Arial"/>
        </w:rPr>
        <w:t>Eguiluz</w:t>
      </w:r>
      <w:proofErr w:type="spellEnd"/>
      <w:r w:rsidRPr="00711CC4">
        <w:rPr>
          <w:rFonts w:ascii="Arial" w:hAnsi="Arial" w:cs="Arial"/>
        </w:rPr>
        <w:t xml:space="preserve">, 2013 citado por Bonifacio </w:t>
      </w:r>
      <w:r w:rsidRPr="00711CC4">
        <w:rPr>
          <w:rFonts w:ascii="Arial" w:hAnsi="Arial" w:cs="Arial"/>
          <w:i/>
        </w:rPr>
        <w:t>et al.,</w:t>
      </w:r>
      <w:r w:rsidRPr="00711CC4">
        <w:rPr>
          <w:rFonts w:ascii="Arial" w:hAnsi="Arial" w:cs="Arial"/>
        </w:rPr>
        <w:t xml:space="preserve"> 2014).</w:t>
      </w:r>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bookmarkStart w:id="49" w:name="_Toc65306584"/>
      <w:r w:rsidRPr="00711CC4">
        <w:rPr>
          <w:rFonts w:ascii="Arial" w:eastAsiaTheme="majorEastAsia" w:hAnsi="Arial" w:cs="Arial"/>
          <w:b/>
          <w:bCs/>
          <w:color w:val="000000" w:themeColor="text1"/>
        </w:rPr>
        <w:lastRenderedPageBreak/>
        <w:t>Peso de grano por panoja</w:t>
      </w:r>
      <w:bookmarkEnd w:id="49"/>
    </w:p>
    <w:p w:rsidR="00B67794" w:rsidRPr="00711CC4" w:rsidRDefault="00B67794" w:rsidP="00032094">
      <w:pPr>
        <w:keepNext/>
        <w:keepLines/>
        <w:spacing w:before="200" w:after="0" w:line="360" w:lineRule="auto"/>
        <w:ind w:left="720"/>
        <w:jc w:val="both"/>
        <w:outlineLvl w:val="2"/>
        <w:rPr>
          <w:rFonts w:ascii="Arial" w:eastAsiaTheme="majorEastAsia" w:hAnsi="Arial" w:cs="Arial"/>
          <w:b/>
          <w:bCs/>
          <w:color w:val="000000" w:themeColor="text1"/>
        </w:rPr>
      </w:pPr>
    </w:p>
    <w:p w:rsidR="00B67794" w:rsidRPr="00711CC4" w:rsidRDefault="00176500" w:rsidP="00032094">
      <w:pPr>
        <w:spacing w:line="360" w:lineRule="auto"/>
        <w:jc w:val="both"/>
        <w:rPr>
          <w:rFonts w:ascii="Arial" w:hAnsi="Arial" w:cs="Arial"/>
        </w:rPr>
      </w:pPr>
      <w:r>
        <w:rPr>
          <w:rFonts w:ascii="Arial" w:hAnsi="Arial" w:cs="Arial"/>
        </w:rPr>
        <w:t>El cuadro 8</w:t>
      </w:r>
      <w:r w:rsidR="00B67794" w:rsidRPr="00711CC4">
        <w:rPr>
          <w:rFonts w:ascii="Arial" w:hAnsi="Arial" w:cs="Arial"/>
        </w:rPr>
        <w:t>, presenta los resultados de análisis de varianza  para el peso de grano por panoja, donde no existen diferencias significativas entre bloques, lo que demuestra que la pendiente no influyó en  esta variable. Así mismo se muestra que para tratamientos existe una diferencia significativa.</w:t>
      </w:r>
    </w:p>
    <w:p w:rsidR="00B67794" w:rsidRPr="00711CC4" w:rsidRDefault="00B67794" w:rsidP="00176500">
      <w:pPr>
        <w:keepNext/>
        <w:spacing w:line="360" w:lineRule="auto"/>
        <w:jc w:val="center"/>
        <w:rPr>
          <w:rFonts w:ascii="Arial" w:hAnsi="Arial" w:cs="Arial"/>
          <w:b/>
          <w:bCs/>
          <w:color w:val="000000" w:themeColor="text1"/>
        </w:rPr>
      </w:pPr>
      <w:bookmarkStart w:id="50" w:name="_Toc57032779"/>
      <w:bookmarkStart w:id="51" w:name="_Toc57857658"/>
      <w:r w:rsidRPr="00711CC4">
        <w:rPr>
          <w:rFonts w:ascii="Arial" w:hAnsi="Arial" w:cs="Arial"/>
          <w:b/>
          <w:bCs/>
          <w:color w:val="000000" w:themeColor="text1"/>
        </w:rPr>
        <w:t xml:space="preserve">Cuadro  </w:t>
      </w:r>
      <w:r w:rsidR="00176500">
        <w:rPr>
          <w:rFonts w:ascii="Arial" w:hAnsi="Arial" w:cs="Arial"/>
          <w:b/>
          <w:bCs/>
          <w:color w:val="000000" w:themeColor="text1"/>
        </w:rPr>
        <w:t>8</w:t>
      </w:r>
      <w:r w:rsidRPr="00711CC4">
        <w:rPr>
          <w:rFonts w:ascii="Arial" w:hAnsi="Arial" w:cs="Arial"/>
          <w:b/>
          <w:bCs/>
          <w:color w:val="000000" w:themeColor="text1"/>
        </w:rPr>
        <w:t>. Análisis de varianza para el peso de grano por panoja</w:t>
      </w:r>
      <w:bookmarkEnd w:id="50"/>
      <w:bookmarkEnd w:id="51"/>
    </w:p>
    <w:tbl>
      <w:tblPr>
        <w:tblW w:w="8293" w:type="dxa"/>
        <w:jc w:val="center"/>
        <w:tblInd w:w="55" w:type="dxa"/>
        <w:tblCellMar>
          <w:left w:w="70" w:type="dxa"/>
          <w:right w:w="70" w:type="dxa"/>
        </w:tblCellMar>
        <w:tblLook w:val="04A0" w:firstRow="1" w:lastRow="0" w:firstColumn="1" w:lastColumn="0" w:noHBand="0" w:noVBand="1"/>
      </w:tblPr>
      <w:tblGrid>
        <w:gridCol w:w="2419"/>
        <w:gridCol w:w="540"/>
        <w:gridCol w:w="1193"/>
        <w:gridCol w:w="1193"/>
        <w:gridCol w:w="1193"/>
        <w:gridCol w:w="1193"/>
        <w:gridCol w:w="562"/>
      </w:tblGrid>
      <w:tr w:rsidR="00B67794" w:rsidRPr="00711CC4" w:rsidTr="00B67794">
        <w:trPr>
          <w:trHeight w:val="458"/>
          <w:jc w:val="center"/>
        </w:trPr>
        <w:tc>
          <w:tcPr>
            <w:tcW w:w="2419"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F.V</w:t>
            </w:r>
          </w:p>
        </w:tc>
        <w:tc>
          <w:tcPr>
            <w:tcW w:w="540"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G.L</w:t>
            </w:r>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S.C</w:t>
            </w:r>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C.M</w:t>
            </w:r>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proofErr w:type="spellStart"/>
            <w:r w:rsidRPr="00711CC4">
              <w:rPr>
                <w:rFonts w:ascii="Arial" w:eastAsia="Times New Roman" w:hAnsi="Arial" w:cs="Arial"/>
                <w:b/>
                <w:bCs/>
                <w:color w:val="000000"/>
                <w:lang w:eastAsia="es-ES"/>
              </w:rPr>
              <w:t>Fc</w:t>
            </w:r>
            <w:proofErr w:type="spellEnd"/>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Ft(0,05)</w:t>
            </w:r>
          </w:p>
        </w:tc>
        <w:tc>
          <w:tcPr>
            <w:tcW w:w="562"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 </w:t>
            </w:r>
          </w:p>
        </w:tc>
      </w:tr>
      <w:tr w:rsidR="00B67794" w:rsidRPr="00711CC4" w:rsidTr="00B67794">
        <w:trPr>
          <w:trHeight w:val="495"/>
          <w:jc w:val="center"/>
        </w:trPr>
        <w:tc>
          <w:tcPr>
            <w:tcW w:w="2419"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0,867</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0,289</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0,607</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0,627</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Ns</w:t>
            </w:r>
            <w:proofErr w:type="spellEnd"/>
          </w:p>
        </w:tc>
      </w:tr>
      <w:tr w:rsidR="00B67794" w:rsidRPr="00711CC4" w:rsidTr="00B67794">
        <w:trPr>
          <w:trHeight w:val="472"/>
          <w:jc w:val="center"/>
        </w:trPr>
        <w:tc>
          <w:tcPr>
            <w:tcW w:w="2419"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9,463</w:t>
            </w:r>
          </w:p>
        </w:tc>
        <w:tc>
          <w:tcPr>
            <w:tcW w:w="1193" w:type="dxa"/>
            <w:tcBorders>
              <w:top w:val="nil"/>
              <w:left w:val="nil"/>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3,154</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6,621</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0,012</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00"/>
          <w:jc w:val="center"/>
        </w:trPr>
        <w:tc>
          <w:tcPr>
            <w:tcW w:w="2419"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4,288</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0,476</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480"/>
          <w:jc w:val="center"/>
        </w:trPr>
        <w:tc>
          <w:tcPr>
            <w:tcW w:w="2419"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14,618</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line="360" w:lineRule="auto"/>
        <w:jc w:val="both"/>
        <w:rPr>
          <w:rFonts w:ascii="Arial" w:hAnsi="Arial" w:cs="Arial"/>
        </w:rPr>
      </w:pPr>
      <w:r w:rsidRPr="00711CC4">
        <w:rPr>
          <w:rFonts w:ascii="Arial" w:hAnsi="Arial" w:cs="Arial"/>
        </w:rPr>
        <w:t xml:space="preserve">FV=Fuente de variación        GL=Grados de libertad     NS= No significativo    *=Significativo </w:t>
      </w:r>
    </w:p>
    <w:p w:rsidR="00B67794" w:rsidRPr="00711CC4" w:rsidRDefault="00B67794" w:rsidP="00032094">
      <w:pPr>
        <w:spacing w:line="360" w:lineRule="auto"/>
        <w:jc w:val="both"/>
        <w:rPr>
          <w:rFonts w:ascii="Arial" w:hAnsi="Arial" w:cs="Arial"/>
        </w:rPr>
      </w:pPr>
      <w:r w:rsidRPr="00711CC4">
        <w:rPr>
          <w:rFonts w:ascii="Arial" w:hAnsi="Arial" w:cs="Arial"/>
        </w:rPr>
        <w:t xml:space="preserve">El coeficiente de variación del 19,65 %  es menor al 30%,  reflejando la confiabilidad en los datos. </w:t>
      </w:r>
    </w:p>
    <w:p w:rsidR="00B67794" w:rsidRPr="00711CC4" w:rsidRDefault="00B67794" w:rsidP="00FB351E">
      <w:pPr>
        <w:keepNext/>
        <w:spacing w:line="360" w:lineRule="auto"/>
        <w:jc w:val="center"/>
        <w:rPr>
          <w:rFonts w:ascii="Arial" w:hAnsi="Arial" w:cs="Arial"/>
        </w:rPr>
      </w:pPr>
      <w:r w:rsidRPr="00711CC4">
        <w:rPr>
          <w:rFonts w:ascii="Arial" w:hAnsi="Arial" w:cs="Arial"/>
          <w:noProof/>
          <w:color w:val="000000" w:themeColor="text1"/>
          <w:lang w:eastAsia="es-ES"/>
        </w:rPr>
        <w:drawing>
          <wp:inline distT="0" distB="0" distL="0" distR="0" wp14:anchorId="4223709E" wp14:editId="64A43656">
            <wp:extent cx="4600575" cy="2343150"/>
            <wp:effectExtent l="0" t="0" r="9525"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67794" w:rsidRPr="00711CC4" w:rsidRDefault="00B67794" w:rsidP="00FB351E">
      <w:pPr>
        <w:spacing w:line="360" w:lineRule="auto"/>
        <w:jc w:val="center"/>
        <w:rPr>
          <w:rFonts w:ascii="Arial" w:hAnsi="Arial" w:cs="Arial"/>
          <w:b/>
          <w:bCs/>
          <w:color w:val="000000" w:themeColor="text1"/>
        </w:rPr>
      </w:pPr>
      <w:bookmarkStart w:id="52" w:name="_Toc64025908"/>
      <w:r w:rsidRPr="00711CC4">
        <w:rPr>
          <w:rFonts w:ascii="Arial" w:hAnsi="Arial" w:cs="Arial"/>
          <w:b/>
          <w:bCs/>
          <w:color w:val="000000" w:themeColor="text1"/>
        </w:rPr>
        <w:t xml:space="preserve">Figura </w:t>
      </w:r>
      <w:r w:rsidR="00FB351E">
        <w:rPr>
          <w:rFonts w:ascii="Arial" w:hAnsi="Arial" w:cs="Arial"/>
          <w:b/>
          <w:bCs/>
          <w:color w:val="000000" w:themeColor="text1"/>
        </w:rPr>
        <w:t>5</w:t>
      </w:r>
      <w:r w:rsidRPr="00711CC4">
        <w:rPr>
          <w:rFonts w:ascii="Arial" w:hAnsi="Arial" w:cs="Arial"/>
          <w:b/>
          <w:bCs/>
          <w:color w:val="000000" w:themeColor="text1"/>
        </w:rPr>
        <w:t>. Comparación de medias para el peso de granos por panoja, de los genotipos de la generación M3 de quinua. (Duncan α=0.05)</w:t>
      </w:r>
      <w:bookmarkEnd w:id="52"/>
    </w:p>
    <w:p w:rsidR="00B67794" w:rsidRPr="00711CC4" w:rsidRDefault="00FB351E" w:rsidP="00032094">
      <w:pPr>
        <w:spacing w:line="360" w:lineRule="auto"/>
        <w:jc w:val="both"/>
        <w:rPr>
          <w:rFonts w:ascii="Arial" w:hAnsi="Arial" w:cs="Arial"/>
        </w:rPr>
      </w:pPr>
      <w:r>
        <w:rPr>
          <w:rFonts w:ascii="Arial" w:hAnsi="Arial" w:cs="Arial"/>
        </w:rPr>
        <w:lastRenderedPageBreak/>
        <w:t>En la figura 5</w:t>
      </w:r>
      <w:r w:rsidR="00B67794" w:rsidRPr="00711CC4">
        <w:rPr>
          <w:rFonts w:ascii="Arial" w:hAnsi="Arial" w:cs="Arial"/>
        </w:rPr>
        <w:t>, se observa que los tratamientos T1, T2  presentan mayor peso de grano con promedios de 4.25 g, 4,22 g respectivamente y con una media similar el T3 con 3,15 g y por último el tratamiento testigo obtuvo un promedio menor de 2,42 g.</w:t>
      </w:r>
    </w:p>
    <w:p w:rsidR="00B67794" w:rsidRPr="00711CC4" w:rsidRDefault="00B67794" w:rsidP="00032094">
      <w:pPr>
        <w:spacing w:line="360" w:lineRule="auto"/>
        <w:jc w:val="both"/>
        <w:rPr>
          <w:rFonts w:ascii="Arial" w:hAnsi="Arial" w:cs="Arial"/>
        </w:rPr>
      </w:pPr>
      <w:r w:rsidRPr="00711CC4">
        <w:rPr>
          <w:rFonts w:ascii="Arial" w:hAnsi="Arial" w:cs="Arial"/>
        </w:rPr>
        <w:t xml:space="preserve">Mujica </w:t>
      </w:r>
      <w:r w:rsidRPr="00711CC4">
        <w:rPr>
          <w:rFonts w:ascii="Arial" w:hAnsi="Arial" w:cs="Arial"/>
          <w:i/>
        </w:rPr>
        <w:t>et al</w:t>
      </w:r>
      <w:r w:rsidRPr="00711CC4">
        <w:rPr>
          <w:rFonts w:ascii="Arial" w:hAnsi="Arial" w:cs="Arial"/>
        </w:rPr>
        <w:t>. (2001) menciona que la cantidad de grano varía de acuerdo a la longitud de la panoja, además  mencionando a los factores climáticos  que influyen sobre esta variable.  Es decir, cuanto mayor sea la longitud de panoja se obtendrá mayor cantidad de granos llegando a producir hasta 500 gramos de semilla por panoja.</w:t>
      </w:r>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bookmarkStart w:id="53" w:name="_Toc65306585"/>
      <w:r w:rsidRPr="00711CC4">
        <w:rPr>
          <w:rFonts w:ascii="Arial" w:eastAsiaTheme="majorEastAsia" w:hAnsi="Arial" w:cs="Arial"/>
          <w:b/>
          <w:bCs/>
          <w:color w:val="000000" w:themeColor="text1"/>
        </w:rPr>
        <w:t>Peso de 100 semillas (g)</w:t>
      </w:r>
      <w:bookmarkEnd w:id="53"/>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Los resultados del</w:t>
      </w:r>
      <w:r w:rsidR="00176500">
        <w:rPr>
          <w:rFonts w:ascii="Arial" w:hAnsi="Arial" w:cs="Arial"/>
        </w:rPr>
        <w:t xml:space="preserve"> análisis de varianza (cuadro 9</w:t>
      </w:r>
      <w:r w:rsidRPr="00711CC4">
        <w:rPr>
          <w:rFonts w:ascii="Arial" w:hAnsi="Arial" w:cs="Arial"/>
        </w:rPr>
        <w:t xml:space="preserve">)  </w:t>
      </w:r>
      <w:proofErr w:type="gramStart"/>
      <w:r w:rsidRPr="00711CC4">
        <w:rPr>
          <w:rFonts w:ascii="Arial" w:hAnsi="Arial" w:cs="Arial"/>
        </w:rPr>
        <w:t>muestra</w:t>
      </w:r>
      <w:proofErr w:type="gramEnd"/>
      <w:r w:rsidRPr="00711CC4">
        <w:rPr>
          <w:rFonts w:ascii="Arial" w:hAnsi="Arial" w:cs="Arial"/>
        </w:rPr>
        <w:t xml:space="preserve"> que las diferencias registradas para bloques no son estadísticamente significativas, en cambio, las diferencias entre tratamientos son estadísticamente significativa</w:t>
      </w:r>
      <w:r w:rsidR="00706C89" w:rsidRPr="00711CC4">
        <w:rPr>
          <w:rFonts w:ascii="Arial" w:hAnsi="Arial" w:cs="Arial"/>
        </w:rPr>
        <w:t>s para el peso de 100 semillas.</w:t>
      </w:r>
    </w:p>
    <w:p w:rsidR="00B67794" w:rsidRPr="00711CC4" w:rsidRDefault="00B67794" w:rsidP="00176500">
      <w:pPr>
        <w:keepNext/>
        <w:spacing w:line="360" w:lineRule="auto"/>
        <w:jc w:val="center"/>
        <w:rPr>
          <w:rFonts w:ascii="Arial" w:hAnsi="Arial" w:cs="Arial"/>
          <w:b/>
          <w:bCs/>
          <w:color w:val="000000" w:themeColor="text1"/>
        </w:rPr>
      </w:pPr>
      <w:bookmarkStart w:id="54" w:name="_Toc57032780"/>
      <w:bookmarkStart w:id="55" w:name="_Toc57857659"/>
      <w:r w:rsidRPr="00711CC4">
        <w:rPr>
          <w:rFonts w:ascii="Arial" w:hAnsi="Arial" w:cs="Arial"/>
          <w:b/>
          <w:bCs/>
          <w:color w:val="000000" w:themeColor="text1"/>
        </w:rPr>
        <w:t xml:space="preserve">Cuadro  </w:t>
      </w:r>
      <w:r w:rsidR="00176500">
        <w:rPr>
          <w:rFonts w:ascii="Arial" w:hAnsi="Arial" w:cs="Arial"/>
          <w:b/>
          <w:bCs/>
          <w:color w:val="000000" w:themeColor="text1"/>
        </w:rPr>
        <w:t>9</w:t>
      </w:r>
      <w:r w:rsidRPr="00711CC4">
        <w:rPr>
          <w:rFonts w:ascii="Arial" w:hAnsi="Arial" w:cs="Arial"/>
          <w:b/>
          <w:bCs/>
          <w:color w:val="000000" w:themeColor="text1"/>
        </w:rPr>
        <w:t>. Análisis de varianza para el peso de 100 semillas (g)</w:t>
      </w:r>
      <w:bookmarkEnd w:id="54"/>
      <w:bookmarkEnd w:id="55"/>
    </w:p>
    <w:tbl>
      <w:tblPr>
        <w:tblW w:w="8487" w:type="dxa"/>
        <w:jc w:val="center"/>
        <w:tblInd w:w="55" w:type="dxa"/>
        <w:tblCellMar>
          <w:left w:w="70" w:type="dxa"/>
          <w:right w:w="70" w:type="dxa"/>
        </w:tblCellMar>
        <w:tblLook w:val="04A0" w:firstRow="1" w:lastRow="0" w:firstColumn="1" w:lastColumn="0" w:noHBand="0" w:noVBand="1"/>
      </w:tblPr>
      <w:tblGrid>
        <w:gridCol w:w="2613"/>
        <w:gridCol w:w="540"/>
        <w:gridCol w:w="1193"/>
        <w:gridCol w:w="1193"/>
        <w:gridCol w:w="1193"/>
        <w:gridCol w:w="1193"/>
        <w:gridCol w:w="562"/>
      </w:tblGrid>
      <w:tr w:rsidR="00B67794" w:rsidRPr="00711CC4" w:rsidTr="00B67794">
        <w:trPr>
          <w:trHeight w:val="573"/>
          <w:jc w:val="center"/>
        </w:trPr>
        <w:tc>
          <w:tcPr>
            <w:tcW w:w="2613"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F.V</w:t>
            </w:r>
          </w:p>
        </w:tc>
        <w:tc>
          <w:tcPr>
            <w:tcW w:w="540"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G.L</w:t>
            </w:r>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S.C</w:t>
            </w:r>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C.M</w:t>
            </w:r>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proofErr w:type="spellStart"/>
            <w:r w:rsidRPr="00711CC4">
              <w:rPr>
                <w:rFonts w:ascii="Arial" w:eastAsia="Times New Roman" w:hAnsi="Arial" w:cs="Arial"/>
                <w:b/>
                <w:bCs/>
                <w:color w:val="000000"/>
                <w:lang w:eastAsia="es-ES"/>
              </w:rPr>
              <w:t>Fc</w:t>
            </w:r>
            <w:proofErr w:type="spellEnd"/>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Ft(0,05)</w:t>
            </w:r>
          </w:p>
        </w:tc>
        <w:tc>
          <w:tcPr>
            <w:tcW w:w="562"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 </w:t>
            </w:r>
          </w:p>
        </w:tc>
      </w:tr>
      <w:tr w:rsidR="00B67794" w:rsidRPr="00711CC4" w:rsidTr="00B67794">
        <w:trPr>
          <w:trHeight w:val="495"/>
          <w:jc w:val="center"/>
        </w:trPr>
        <w:tc>
          <w:tcPr>
            <w:tcW w:w="261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0,003</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0,001</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2,418</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0,164</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Ns</w:t>
            </w:r>
            <w:proofErr w:type="spellEnd"/>
          </w:p>
        </w:tc>
      </w:tr>
      <w:tr w:rsidR="00B67794" w:rsidRPr="00711CC4" w:rsidTr="00B67794">
        <w:trPr>
          <w:trHeight w:val="300"/>
          <w:jc w:val="center"/>
        </w:trPr>
        <w:tc>
          <w:tcPr>
            <w:tcW w:w="261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0,006</w:t>
            </w:r>
          </w:p>
        </w:tc>
        <w:tc>
          <w:tcPr>
            <w:tcW w:w="1193" w:type="dxa"/>
            <w:tcBorders>
              <w:top w:val="nil"/>
              <w:left w:val="nil"/>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0,002</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4,330</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0,038</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00"/>
          <w:jc w:val="center"/>
        </w:trPr>
        <w:tc>
          <w:tcPr>
            <w:tcW w:w="261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0,004</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0,000</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480"/>
          <w:jc w:val="center"/>
        </w:trPr>
        <w:tc>
          <w:tcPr>
            <w:tcW w:w="261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0,014</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after="0" w:line="360" w:lineRule="auto"/>
        <w:jc w:val="both"/>
        <w:rPr>
          <w:rFonts w:ascii="Arial" w:hAnsi="Arial" w:cs="Arial"/>
        </w:rPr>
      </w:pPr>
      <w:r w:rsidRPr="00711CC4">
        <w:rPr>
          <w:rFonts w:ascii="Arial" w:hAnsi="Arial" w:cs="Arial"/>
        </w:rPr>
        <w:t>FV= Factor de corrección      GL= Grado de libertad    NS= No significativo   *=Significativo</w:t>
      </w:r>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El coeficiente de variación de 6.86 % indica que hubo un buen manejo de las unidades experimentales, dando confiabilidad a los datos obtenidos.</w:t>
      </w:r>
    </w:p>
    <w:p w:rsidR="00B67794" w:rsidRPr="00711CC4" w:rsidRDefault="00B67794" w:rsidP="00FB351E">
      <w:pPr>
        <w:keepNext/>
        <w:spacing w:line="360" w:lineRule="auto"/>
        <w:jc w:val="center"/>
        <w:rPr>
          <w:rFonts w:ascii="Arial" w:hAnsi="Arial" w:cs="Arial"/>
        </w:rPr>
      </w:pPr>
      <w:r w:rsidRPr="00711CC4">
        <w:rPr>
          <w:rFonts w:ascii="Arial" w:hAnsi="Arial" w:cs="Arial"/>
          <w:noProof/>
          <w:lang w:eastAsia="es-ES"/>
        </w:rPr>
        <w:lastRenderedPageBreak/>
        <w:drawing>
          <wp:inline distT="0" distB="0" distL="0" distR="0" wp14:anchorId="0AC57263" wp14:editId="53C1FE14">
            <wp:extent cx="4731026" cy="1977887"/>
            <wp:effectExtent l="0" t="0" r="12700" b="2286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7794" w:rsidRPr="00711CC4" w:rsidRDefault="00B67794" w:rsidP="00032094">
      <w:pPr>
        <w:spacing w:line="360" w:lineRule="auto"/>
        <w:jc w:val="both"/>
        <w:rPr>
          <w:rFonts w:ascii="Arial" w:hAnsi="Arial" w:cs="Arial"/>
          <w:b/>
          <w:bCs/>
          <w:color w:val="000000" w:themeColor="text1"/>
        </w:rPr>
      </w:pPr>
      <w:bookmarkStart w:id="56" w:name="_Toc64025909"/>
      <w:r w:rsidRPr="00711CC4">
        <w:rPr>
          <w:rFonts w:ascii="Arial" w:hAnsi="Arial" w:cs="Arial"/>
          <w:b/>
          <w:bCs/>
          <w:color w:val="000000" w:themeColor="text1"/>
        </w:rPr>
        <w:t>Figura</w:t>
      </w:r>
      <w:r w:rsidR="00FB351E">
        <w:rPr>
          <w:rFonts w:ascii="Arial" w:hAnsi="Arial" w:cs="Arial"/>
          <w:b/>
          <w:bCs/>
          <w:color w:val="000000" w:themeColor="text1"/>
        </w:rPr>
        <w:t xml:space="preserve"> 6</w:t>
      </w:r>
      <w:r w:rsidRPr="00711CC4">
        <w:rPr>
          <w:rFonts w:ascii="Arial" w:hAnsi="Arial" w:cs="Arial"/>
          <w:b/>
          <w:bCs/>
          <w:color w:val="000000" w:themeColor="text1"/>
        </w:rPr>
        <w:t>. Comparación de medias para el peso de 100 semillas (g), de los genotipos de la generación M3 de quinua. (Duncan α=0.05)</w:t>
      </w:r>
      <w:bookmarkEnd w:id="56"/>
    </w:p>
    <w:p w:rsidR="00B67794" w:rsidRPr="00711CC4" w:rsidRDefault="00B67794" w:rsidP="00032094">
      <w:pPr>
        <w:spacing w:line="360" w:lineRule="auto"/>
        <w:jc w:val="both"/>
        <w:rPr>
          <w:rFonts w:ascii="Arial" w:hAnsi="Arial" w:cs="Arial"/>
        </w:rPr>
      </w:pPr>
      <w:r w:rsidRPr="00711CC4">
        <w:rPr>
          <w:rFonts w:ascii="Arial" w:hAnsi="Arial" w:cs="Arial"/>
        </w:rPr>
        <w:t>De acuerdo a la p</w:t>
      </w:r>
      <w:r w:rsidR="00FB351E">
        <w:rPr>
          <w:rFonts w:ascii="Arial" w:hAnsi="Arial" w:cs="Arial"/>
        </w:rPr>
        <w:t>rueba de Duncan al 5% (figura 6</w:t>
      </w:r>
      <w:r w:rsidRPr="00711CC4">
        <w:rPr>
          <w:rFonts w:ascii="Arial" w:hAnsi="Arial" w:cs="Arial"/>
        </w:rPr>
        <w:t xml:space="preserve">), las comparaciones de medias para el peso de 100 semillas existen  diferencias significativas entre el testigo y los genotipos. Siendo que el testigo obtuvo mayor peso con un promedio de 0,35g y con una media similar el T2 con 0,32g y por último el T3 y T1 con promedios de 0,31g – 0,30g demostraron que son estadísticamente similares, lo cual indica que los genotipos obtuvieron mayor cantidad de grano por panoja pero un promedio menor  respecto al peso. Según investigaciones realizadas por Gabriel </w:t>
      </w:r>
      <w:r w:rsidRPr="00711CC4">
        <w:rPr>
          <w:rFonts w:ascii="Arial" w:hAnsi="Arial" w:cs="Arial"/>
          <w:i/>
        </w:rPr>
        <w:t>et al.</w:t>
      </w:r>
      <w:r w:rsidRPr="00711CC4">
        <w:rPr>
          <w:rFonts w:ascii="Arial" w:hAnsi="Arial" w:cs="Arial"/>
        </w:rPr>
        <w:t xml:space="preserve"> (2012) dan a conocer  que generalmente  la disminución en el  peso de las semillas se ve afectado por el desarrollo del follaje es decir  que a mayor follaje menor tamaño y peso de grano y una disminución en  la calidad de grano. </w:t>
      </w:r>
    </w:p>
    <w:p w:rsidR="00B67794" w:rsidRPr="00711CC4" w:rsidRDefault="00B67794" w:rsidP="00032094">
      <w:pPr>
        <w:spacing w:line="360" w:lineRule="auto"/>
        <w:jc w:val="both"/>
        <w:rPr>
          <w:rFonts w:ascii="Arial" w:hAnsi="Arial" w:cs="Arial"/>
        </w:rPr>
      </w:pPr>
      <w:r w:rsidRPr="00711CC4">
        <w:rPr>
          <w:rFonts w:ascii="Arial" w:hAnsi="Arial" w:cs="Arial"/>
        </w:rPr>
        <w:t xml:space="preserve"> En la generación M3  evaluada en campo, los tratamientos T1 (G-7), T2 (G-10) y T3 (G-15) presentaron mayor follaje, mayor número de ramificaciones a diferencia del testigo que tuvo una disminución en su follaje.</w:t>
      </w:r>
    </w:p>
    <w:p w:rsidR="00B67794" w:rsidRPr="00711CC4" w:rsidRDefault="00B67794" w:rsidP="00032094">
      <w:pPr>
        <w:spacing w:line="360" w:lineRule="auto"/>
        <w:jc w:val="both"/>
        <w:rPr>
          <w:rFonts w:ascii="Arial" w:hAnsi="Arial" w:cs="Arial"/>
        </w:rPr>
      </w:pPr>
      <w:r w:rsidRPr="00711CC4">
        <w:rPr>
          <w:rFonts w:ascii="Arial" w:hAnsi="Arial" w:cs="Arial"/>
        </w:rPr>
        <w:t xml:space="preserve">Asimismo mencionar que probablemente esto se debió a las heladas que se presentaron durante la formación de grano, por lo que sería una de las causas de la baja calidad de semillas obtenidas en esta generación M3.  </w:t>
      </w:r>
    </w:p>
    <w:p w:rsidR="00B67794" w:rsidRPr="00711CC4" w:rsidRDefault="00B67794" w:rsidP="00032094">
      <w:pPr>
        <w:spacing w:line="360" w:lineRule="auto"/>
        <w:jc w:val="both"/>
        <w:rPr>
          <w:rFonts w:ascii="Arial" w:hAnsi="Arial" w:cs="Arial"/>
        </w:rPr>
      </w:pPr>
      <w:r w:rsidRPr="00711CC4">
        <w:rPr>
          <w:rFonts w:ascii="Arial" w:hAnsi="Arial" w:cs="Arial"/>
        </w:rPr>
        <w:t xml:space="preserve">De acuerdo a los parámetros determinado  por  Rojas </w:t>
      </w:r>
      <w:r w:rsidRPr="00711CC4">
        <w:rPr>
          <w:rFonts w:ascii="Arial" w:hAnsi="Arial" w:cs="Arial"/>
          <w:i/>
        </w:rPr>
        <w:t>et al.</w:t>
      </w:r>
      <w:r w:rsidRPr="00711CC4">
        <w:rPr>
          <w:rFonts w:ascii="Arial" w:hAnsi="Arial" w:cs="Arial"/>
        </w:rPr>
        <w:t xml:space="preserve"> (2010) en el peso  de 100 semillas  varia de 0.12 a 0.60 gramos, esto debido a la variabilidad genética del cultivo de la quinua. Los resultados obtenidos en esta  investigación se encuentran dentro del parámetro mencionado. </w:t>
      </w:r>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r w:rsidRPr="00711CC4">
        <w:rPr>
          <w:rFonts w:ascii="Arial" w:eastAsiaTheme="majorEastAsia" w:hAnsi="Arial" w:cs="Arial"/>
          <w:b/>
          <w:bCs/>
          <w:color w:val="000000" w:themeColor="text1"/>
        </w:rPr>
        <w:lastRenderedPageBreak/>
        <w:t xml:space="preserve"> </w:t>
      </w:r>
      <w:bookmarkStart w:id="57" w:name="_Toc65306586"/>
      <w:r w:rsidRPr="00711CC4">
        <w:rPr>
          <w:rFonts w:ascii="Arial" w:eastAsiaTheme="majorEastAsia" w:hAnsi="Arial" w:cs="Arial"/>
          <w:b/>
          <w:bCs/>
          <w:color w:val="000000" w:themeColor="text1"/>
        </w:rPr>
        <w:t>Rendimiento de grano  de quinua</w:t>
      </w:r>
      <w:bookmarkEnd w:id="57"/>
    </w:p>
    <w:p w:rsidR="00B67794" w:rsidRPr="00711CC4" w:rsidRDefault="00B67794" w:rsidP="00032094">
      <w:pPr>
        <w:spacing w:line="360" w:lineRule="auto"/>
        <w:jc w:val="both"/>
        <w:rPr>
          <w:rFonts w:ascii="Arial" w:hAnsi="Arial" w:cs="Arial"/>
        </w:rPr>
      </w:pPr>
    </w:p>
    <w:p w:rsidR="00B67794" w:rsidRPr="00711CC4" w:rsidRDefault="00176500" w:rsidP="00032094">
      <w:pPr>
        <w:spacing w:line="360" w:lineRule="auto"/>
        <w:jc w:val="both"/>
        <w:rPr>
          <w:rFonts w:ascii="Arial" w:hAnsi="Arial" w:cs="Arial"/>
        </w:rPr>
      </w:pPr>
      <w:r>
        <w:rPr>
          <w:rFonts w:ascii="Arial" w:hAnsi="Arial" w:cs="Arial"/>
        </w:rPr>
        <w:t>En el cuadro 10</w:t>
      </w:r>
      <w:r w:rsidR="00B67794" w:rsidRPr="00711CC4">
        <w:rPr>
          <w:rFonts w:ascii="Arial" w:hAnsi="Arial" w:cs="Arial"/>
        </w:rPr>
        <w:t xml:space="preserve">,  se observa el análisis de varianza para el rendimiento de grano, donde se muestra que existe diferencias significativas entre bloques, es decir que la pendiente si tuvo efecto en los resultados para el rendimiento. </w:t>
      </w:r>
    </w:p>
    <w:p w:rsidR="00B67794" w:rsidRPr="00711CC4" w:rsidRDefault="00B67794" w:rsidP="00032094">
      <w:pPr>
        <w:spacing w:line="360" w:lineRule="auto"/>
        <w:jc w:val="both"/>
        <w:rPr>
          <w:rFonts w:ascii="Arial" w:hAnsi="Arial" w:cs="Arial"/>
        </w:rPr>
      </w:pPr>
      <w:r w:rsidRPr="00711CC4">
        <w:rPr>
          <w:rFonts w:ascii="Arial" w:hAnsi="Arial" w:cs="Arial"/>
        </w:rPr>
        <w:t>Para tratamientos se encontró diferencias altamente significativas, lo que indica que los genotipos y el testigo, logran diferentes resultados en cuanto a esta variable.</w:t>
      </w:r>
    </w:p>
    <w:p w:rsidR="00B67794" w:rsidRPr="00711CC4" w:rsidRDefault="00B67794" w:rsidP="00176500">
      <w:pPr>
        <w:keepNext/>
        <w:spacing w:line="360" w:lineRule="auto"/>
        <w:jc w:val="center"/>
        <w:rPr>
          <w:rFonts w:ascii="Arial" w:hAnsi="Arial" w:cs="Arial"/>
          <w:b/>
          <w:bCs/>
          <w:color w:val="4F81BD" w:themeColor="accent1"/>
        </w:rPr>
      </w:pPr>
      <w:bookmarkStart w:id="58" w:name="_Toc57032781"/>
      <w:bookmarkStart w:id="59" w:name="_Toc57857660"/>
      <w:r w:rsidRPr="00711CC4">
        <w:rPr>
          <w:rFonts w:ascii="Arial" w:hAnsi="Arial" w:cs="Arial"/>
          <w:b/>
          <w:bCs/>
          <w:color w:val="000000" w:themeColor="text1"/>
        </w:rPr>
        <w:t xml:space="preserve">Cuadro  </w:t>
      </w:r>
      <w:r w:rsidR="00176500">
        <w:rPr>
          <w:rFonts w:ascii="Arial" w:hAnsi="Arial" w:cs="Arial"/>
          <w:b/>
          <w:bCs/>
          <w:color w:val="000000" w:themeColor="text1"/>
        </w:rPr>
        <w:t>10</w:t>
      </w:r>
      <w:r w:rsidRPr="00711CC4">
        <w:rPr>
          <w:rFonts w:ascii="Arial" w:hAnsi="Arial" w:cs="Arial"/>
          <w:b/>
          <w:bCs/>
          <w:color w:val="000000" w:themeColor="text1"/>
        </w:rPr>
        <w:t>.  Análisis de varianza para el rendimiento</w:t>
      </w:r>
      <w:bookmarkEnd w:id="58"/>
      <w:bookmarkEnd w:id="59"/>
    </w:p>
    <w:tbl>
      <w:tblPr>
        <w:tblW w:w="8487" w:type="dxa"/>
        <w:jc w:val="center"/>
        <w:tblInd w:w="55" w:type="dxa"/>
        <w:tblCellMar>
          <w:left w:w="70" w:type="dxa"/>
          <w:right w:w="70" w:type="dxa"/>
        </w:tblCellMar>
        <w:tblLook w:val="04A0" w:firstRow="1" w:lastRow="0" w:firstColumn="1" w:lastColumn="0" w:noHBand="0" w:noVBand="1"/>
      </w:tblPr>
      <w:tblGrid>
        <w:gridCol w:w="2613"/>
        <w:gridCol w:w="540"/>
        <w:gridCol w:w="1193"/>
        <w:gridCol w:w="1193"/>
        <w:gridCol w:w="1193"/>
        <w:gridCol w:w="1193"/>
        <w:gridCol w:w="562"/>
      </w:tblGrid>
      <w:tr w:rsidR="00B67794" w:rsidRPr="00711CC4" w:rsidTr="00B67794">
        <w:trPr>
          <w:trHeight w:val="573"/>
          <w:jc w:val="center"/>
        </w:trPr>
        <w:tc>
          <w:tcPr>
            <w:tcW w:w="2613"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F.V</w:t>
            </w:r>
          </w:p>
        </w:tc>
        <w:tc>
          <w:tcPr>
            <w:tcW w:w="540"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G.L</w:t>
            </w:r>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S.C</w:t>
            </w:r>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C.M</w:t>
            </w:r>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proofErr w:type="spellStart"/>
            <w:r w:rsidRPr="00711CC4">
              <w:rPr>
                <w:rFonts w:ascii="Arial" w:eastAsia="Times New Roman" w:hAnsi="Arial" w:cs="Arial"/>
                <w:b/>
                <w:bCs/>
                <w:color w:val="000000"/>
                <w:lang w:eastAsia="es-ES"/>
              </w:rPr>
              <w:t>Fc</w:t>
            </w:r>
            <w:proofErr w:type="spellEnd"/>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Ft(0,05)</w:t>
            </w:r>
          </w:p>
        </w:tc>
        <w:tc>
          <w:tcPr>
            <w:tcW w:w="562"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 </w:t>
            </w:r>
          </w:p>
        </w:tc>
      </w:tr>
      <w:tr w:rsidR="00B67794" w:rsidRPr="00711CC4" w:rsidTr="00B67794">
        <w:trPr>
          <w:trHeight w:val="495"/>
          <w:jc w:val="center"/>
        </w:trPr>
        <w:tc>
          <w:tcPr>
            <w:tcW w:w="261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21667.16</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7222.287</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2.301</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0.146</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00"/>
          <w:jc w:val="center"/>
        </w:trPr>
        <w:tc>
          <w:tcPr>
            <w:tcW w:w="261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148656.8</w:t>
            </w:r>
          </w:p>
        </w:tc>
        <w:tc>
          <w:tcPr>
            <w:tcW w:w="1193" w:type="dxa"/>
            <w:tcBorders>
              <w:top w:val="nil"/>
              <w:left w:val="nil"/>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4955.28</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15.785</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0.001</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00"/>
          <w:jc w:val="center"/>
        </w:trPr>
        <w:tc>
          <w:tcPr>
            <w:tcW w:w="261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28253.22</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3139.246</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480"/>
          <w:jc w:val="center"/>
        </w:trPr>
        <w:tc>
          <w:tcPr>
            <w:tcW w:w="261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198577.2</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after="0" w:line="360" w:lineRule="auto"/>
        <w:jc w:val="both"/>
        <w:rPr>
          <w:rFonts w:ascii="Arial" w:hAnsi="Arial" w:cs="Arial"/>
        </w:rPr>
      </w:pPr>
      <w:r w:rsidRPr="00711CC4">
        <w:rPr>
          <w:rFonts w:ascii="Arial" w:hAnsi="Arial" w:cs="Arial"/>
        </w:rPr>
        <w:t>FV= Factor de corrección     GL= Grado de libertad   *=Significativo  **= Altamente significativo</w:t>
      </w:r>
    </w:p>
    <w:p w:rsidR="00B67794" w:rsidRPr="00711CC4" w:rsidRDefault="00B67794" w:rsidP="00032094">
      <w:pPr>
        <w:spacing w:after="0" w:line="360" w:lineRule="auto"/>
        <w:jc w:val="both"/>
        <w:rPr>
          <w:rFonts w:ascii="Arial" w:hAnsi="Arial" w:cs="Arial"/>
        </w:rPr>
      </w:pPr>
      <w:r w:rsidRPr="00711CC4">
        <w:rPr>
          <w:rFonts w:ascii="Arial" w:hAnsi="Arial" w:cs="Arial"/>
        </w:rPr>
        <w:t xml:space="preserve">      </w:t>
      </w:r>
    </w:p>
    <w:p w:rsidR="00B67794" w:rsidRPr="00711CC4" w:rsidRDefault="00B67794" w:rsidP="00032094">
      <w:pPr>
        <w:spacing w:line="360" w:lineRule="auto"/>
        <w:jc w:val="both"/>
        <w:rPr>
          <w:rFonts w:ascii="Arial" w:hAnsi="Arial" w:cs="Arial"/>
        </w:rPr>
      </w:pPr>
      <w:r w:rsidRPr="00711CC4">
        <w:rPr>
          <w:rFonts w:ascii="Arial" w:hAnsi="Arial" w:cs="Arial"/>
        </w:rPr>
        <w:t xml:space="preserve">El coeficiente de variación del trabajo de investigación fue de 18.38 %, lo que  significa que los resultados obtenidos son confiables. </w:t>
      </w:r>
    </w:p>
    <w:p w:rsidR="00B67794" w:rsidRPr="00711CC4" w:rsidRDefault="00B67794" w:rsidP="00FB351E">
      <w:pPr>
        <w:keepNext/>
        <w:spacing w:line="360" w:lineRule="auto"/>
        <w:jc w:val="center"/>
        <w:rPr>
          <w:rFonts w:ascii="Arial" w:hAnsi="Arial" w:cs="Arial"/>
        </w:rPr>
      </w:pPr>
      <w:r w:rsidRPr="00711CC4">
        <w:rPr>
          <w:rFonts w:ascii="Arial" w:hAnsi="Arial" w:cs="Arial"/>
          <w:noProof/>
          <w:lang w:eastAsia="es-ES"/>
        </w:rPr>
        <w:drawing>
          <wp:inline distT="0" distB="0" distL="0" distR="0" wp14:anchorId="543D355C" wp14:editId="4B34DA12">
            <wp:extent cx="5257800" cy="205740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7794" w:rsidRPr="00711CC4" w:rsidRDefault="00B67794" w:rsidP="00FB351E">
      <w:pPr>
        <w:spacing w:line="360" w:lineRule="auto"/>
        <w:jc w:val="center"/>
        <w:rPr>
          <w:rFonts w:ascii="Arial" w:hAnsi="Arial" w:cs="Arial"/>
          <w:b/>
          <w:bCs/>
          <w:color w:val="000000" w:themeColor="text1"/>
        </w:rPr>
      </w:pPr>
      <w:bookmarkStart w:id="60" w:name="_Toc64025910"/>
      <w:r w:rsidRPr="00711CC4">
        <w:rPr>
          <w:rFonts w:ascii="Arial" w:hAnsi="Arial" w:cs="Arial"/>
          <w:b/>
          <w:bCs/>
          <w:color w:val="000000" w:themeColor="text1"/>
        </w:rPr>
        <w:t>Figura</w:t>
      </w:r>
      <w:r w:rsidR="00FB351E">
        <w:rPr>
          <w:rFonts w:ascii="Arial" w:hAnsi="Arial" w:cs="Arial"/>
          <w:b/>
          <w:bCs/>
          <w:color w:val="000000" w:themeColor="text1"/>
        </w:rPr>
        <w:t xml:space="preserve"> 7</w:t>
      </w:r>
      <w:r w:rsidRPr="00711CC4">
        <w:rPr>
          <w:rFonts w:ascii="Arial" w:hAnsi="Arial" w:cs="Arial"/>
          <w:b/>
          <w:bCs/>
          <w:color w:val="000000" w:themeColor="text1"/>
        </w:rPr>
        <w:t>. Comparación de medias para el rendimiento en grano, de los genotipos de la generación M3 de quinua. (Duncan α=0.05)</w:t>
      </w:r>
      <w:bookmarkEnd w:id="60"/>
    </w:p>
    <w:p w:rsidR="00B67794" w:rsidRPr="00711CC4" w:rsidRDefault="00FB351E" w:rsidP="00032094">
      <w:pPr>
        <w:spacing w:line="360" w:lineRule="auto"/>
        <w:jc w:val="both"/>
        <w:rPr>
          <w:rFonts w:ascii="Arial" w:hAnsi="Arial" w:cs="Arial"/>
        </w:rPr>
      </w:pPr>
      <w:r>
        <w:rPr>
          <w:rFonts w:ascii="Arial" w:hAnsi="Arial" w:cs="Arial"/>
        </w:rPr>
        <w:lastRenderedPageBreak/>
        <w:t>En la figura 7</w:t>
      </w:r>
      <w:r w:rsidR="00B67794" w:rsidRPr="00711CC4">
        <w:rPr>
          <w:rFonts w:ascii="Arial" w:hAnsi="Arial" w:cs="Arial"/>
        </w:rPr>
        <w:t xml:space="preserve">, se demuestra que estadísticamente el T2 obtuvo mayor rendimiento con  un promedio de 459,64 kg/ha, en cambio los tratamientos T1, T3 y el tratamiento testigo obtuvieron promedios  casi similares de 284.20 kg/ha, 272.25 kg/ha y 196,56 kg/ha, lo que demuestra  que la enfermedad del mildiu si tuvo efecto respecto al </w:t>
      </w:r>
      <w:proofErr w:type="gramStart"/>
      <w:r w:rsidR="00B67794" w:rsidRPr="00711CC4">
        <w:rPr>
          <w:rFonts w:ascii="Arial" w:hAnsi="Arial" w:cs="Arial"/>
        </w:rPr>
        <w:t>rendimiento</w:t>
      </w:r>
      <w:proofErr w:type="gramEnd"/>
      <w:r w:rsidR="00B67794" w:rsidRPr="00711CC4">
        <w:rPr>
          <w:rFonts w:ascii="Arial" w:hAnsi="Arial" w:cs="Arial"/>
        </w:rPr>
        <w:t xml:space="preserve"> de grano.</w:t>
      </w:r>
    </w:p>
    <w:p w:rsidR="00B67794" w:rsidRPr="00711CC4" w:rsidRDefault="00B67794" w:rsidP="00032094">
      <w:pPr>
        <w:spacing w:line="360" w:lineRule="auto"/>
        <w:jc w:val="both"/>
        <w:rPr>
          <w:rFonts w:ascii="Arial" w:hAnsi="Arial" w:cs="Arial"/>
        </w:rPr>
      </w:pPr>
      <w:r w:rsidRPr="00711CC4">
        <w:rPr>
          <w:rFonts w:ascii="Arial" w:hAnsi="Arial" w:cs="Arial"/>
        </w:rPr>
        <w:t xml:space="preserve">Según estudios  realizados por Morales </w:t>
      </w:r>
      <w:r w:rsidRPr="00711CC4">
        <w:rPr>
          <w:rFonts w:ascii="Arial" w:hAnsi="Arial" w:cs="Arial"/>
          <w:i/>
        </w:rPr>
        <w:t>et al.</w:t>
      </w:r>
      <w:r w:rsidRPr="00711CC4">
        <w:rPr>
          <w:rFonts w:ascii="Arial" w:hAnsi="Arial" w:cs="Arial"/>
        </w:rPr>
        <w:t xml:space="preserve"> (1973); citado por </w:t>
      </w:r>
      <w:proofErr w:type="spellStart"/>
      <w:r w:rsidRPr="00711CC4">
        <w:rPr>
          <w:rFonts w:ascii="Arial" w:hAnsi="Arial" w:cs="Arial"/>
        </w:rPr>
        <w:t>Arapa</w:t>
      </w:r>
      <w:proofErr w:type="spellEnd"/>
      <w:r w:rsidRPr="00711CC4">
        <w:rPr>
          <w:rFonts w:ascii="Arial" w:hAnsi="Arial" w:cs="Arial"/>
        </w:rPr>
        <w:t xml:space="preserve"> (2006), señalan que los rendimientos de grano por hectárea  son muy variables debido a los factores </w:t>
      </w:r>
      <w:proofErr w:type="spellStart"/>
      <w:r w:rsidRPr="00711CC4">
        <w:rPr>
          <w:rFonts w:ascii="Arial" w:hAnsi="Arial" w:cs="Arial"/>
        </w:rPr>
        <w:t>edafoclimáticos</w:t>
      </w:r>
      <w:proofErr w:type="spellEnd"/>
      <w:r w:rsidRPr="00711CC4">
        <w:rPr>
          <w:rFonts w:ascii="Arial" w:hAnsi="Arial" w:cs="Arial"/>
        </w:rPr>
        <w:t xml:space="preserve"> y las labores culturales manejadas durante  el desarrollo fenológico del cultivo.</w:t>
      </w:r>
    </w:p>
    <w:p w:rsidR="00B67794" w:rsidRPr="00711CC4" w:rsidRDefault="00B67794" w:rsidP="00032094">
      <w:pPr>
        <w:spacing w:line="360" w:lineRule="auto"/>
        <w:jc w:val="both"/>
        <w:rPr>
          <w:rFonts w:ascii="Arial" w:hAnsi="Arial" w:cs="Arial"/>
        </w:rPr>
      </w:pPr>
      <w:r w:rsidRPr="00711CC4">
        <w:rPr>
          <w:rFonts w:ascii="Arial" w:hAnsi="Arial" w:cs="Arial"/>
        </w:rPr>
        <w:t xml:space="preserve">Al respecto Bonifacio (s.f.), menciona que el mildiu llega a causar  pérdidas del 10% al 30% en el rendimiento debido a que la enfermedad causa la defoliación de las hojas, afectando al desarrollo de la planta, y por ende la producción total.  Así mismo  Plata </w:t>
      </w:r>
      <w:r w:rsidRPr="00711CC4">
        <w:rPr>
          <w:rFonts w:ascii="Arial" w:hAnsi="Arial" w:cs="Arial"/>
          <w:i/>
        </w:rPr>
        <w:t>et al.</w:t>
      </w:r>
      <w:r w:rsidRPr="00711CC4">
        <w:rPr>
          <w:rFonts w:ascii="Arial" w:hAnsi="Arial" w:cs="Arial"/>
        </w:rPr>
        <w:t xml:space="preserve"> (2014), señalan que el mildiu ocasiona grandes pérdidas dependiendo a la fase fenológica en la que la planta es atacada y el grado de resistencia que obtenga la variedad.</w:t>
      </w:r>
    </w:p>
    <w:p w:rsidR="00B67794" w:rsidRPr="00711CC4" w:rsidRDefault="00B67794" w:rsidP="00032094">
      <w:pPr>
        <w:keepNext/>
        <w:keepLines/>
        <w:numPr>
          <w:ilvl w:val="1"/>
          <w:numId w:val="25"/>
        </w:numPr>
        <w:spacing w:before="200" w:after="0" w:line="360" w:lineRule="auto"/>
        <w:jc w:val="both"/>
        <w:outlineLvl w:val="1"/>
        <w:rPr>
          <w:rFonts w:ascii="Arial" w:eastAsiaTheme="majorEastAsia" w:hAnsi="Arial" w:cs="Arial"/>
          <w:b/>
          <w:bCs/>
          <w:color w:val="000000" w:themeColor="text1"/>
        </w:rPr>
      </w:pPr>
      <w:bookmarkStart w:id="61" w:name="_Toc65306587"/>
      <w:r w:rsidRPr="00711CC4">
        <w:rPr>
          <w:rFonts w:ascii="Arial" w:eastAsiaTheme="majorEastAsia" w:hAnsi="Arial" w:cs="Arial"/>
          <w:b/>
          <w:bCs/>
          <w:color w:val="000000" w:themeColor="text1"/>
        </w:rPr>
        <w:t>Variables  de evaluación de la enfermedad</w:t>
      </w:r>
      <w:bookmarkEnd w:id="61"/>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bookmarkStart w:id="62" w:name="_Toc65306588"/>
      <w:r w:rsidRPr="00711CC4">
        <w:rPr>
          <w:rFonts w:ascii="Arial" w:eastAsiaTheme="majorEastAsia" w:hAnsi="Arial" w:cs="Arial"/>
          <w:b/>
          <w:bCs/>
          <w:color w:val="000000" w:themeColor="text1"/>
        </w:rPr>
        <w:t>Incidencia de la enfermedad</w:t>
      </w:r>
      <w:bookmarkEnd w:id="62"/>
      <w:r w:rsidRPr="00711CC4">
        <w:rPr>
          <w:rFonts w:ascii="Arial" w:eastAsiaTheme="majorEastAsia" w:hAnsi="Arial" w:cs="Arial"/>
          <w:b/>
          <w:bCs/>
          <w:color w:val="000000" w:themeColor="text1"/>
        </w:rPr>
        <w:t xml:space="preserve"> </w:t>
      </w:r>
    </w:p>
    <w:p w:rsidR="00176500" w:rsidRDefault="00176500" w:rsidP="00032094">
      <w:pPr>
        <w:spacing w:line="360" w:lineRule="auto"/>
        <w:jc w:val="both"/>
        <w:rPr>
          <w:rFonts w:ascii="Arial" w:hAnsi="Arial" w:cs="Arial"/>
        </w:rPr>
      </w:pPr>
    </w:p>
    <w:p w:rsidR="00B67794" w:rsidRPr="00711CC4" w:rsidRDefault="00176500" w:rsidP="00032094">
      <w:pPr>
        <w:spacing w:line="360" w:lineRule="auto"/>
        <w:jc w:val="both"/>
        <w:rPr>
          <w:rFonts w:ascii="Arial" w:hAnsi="Arial" w:cs="Arial"/>
        </w:rPr>
      </w:pPr>
      <w:r>
        <w:rPr>
          <w:rFonts w:ascii="Arial" w:hAnsi="Arial" w:cs="Arial"/>
        </w:rPr>
        <w:t xml:space="preserve"> A continuación en el cuadro 11</w:t>
      </w:r>
      <w:r w:rsidR="00B67794" w:rsidRPr="00711CC4">
        <w:rPr>
          <w:rFonts w:ascii="Arial" w:hAnsi="Arial" w:cs="Arial"/>
        </w:rPr>
        <w:t>, se muestran los resultados ANVA para la incidencia de la enfermedad del mildiu en la quinua.</w:t>
      </w:r>
    </w:p>
    <w:p w:rsidR="00B67794" w:rsidRPr="00711CC4" w:rsidRDefault="00B67794" w:rsidP="00032094">
      <w:pPr>
        <w:keepNext/>
        <w:spacing w:line="360" w:lineRule="auto"/>
        <w:jc w:val="both"/>
        <w:rPr>
          <w:rFonts w:ascii="Arial" w:hAnsi="Arial" w:cs="Arial"/>
          <w:b/>
          <w:bCs/>
          <w:color w:val="000000" w:themeColor="text1"/>
        </w:rPr>
      </w:pPr>
      <w:bookmarkStart w:id="63" w:name="_Toc57032782"/>
      <w:bookmarkStart w:id="64" w:name="_Toc57857661"/>
      <w:r w:rsidRPr="00711CC4">
        <w:rPr>
          <w:rFonts w:ascii="Arial" w:hAnsi="Arial" w:cs="Arial"/>
          <w:b/>
          <w:bCs/>
          <w:color w:val="000000" w:themeColor="text1"/>
        </w:rPr>
        <w:t xml:space="preserve">Cuadro  </w:t>
      </w:r>
      <w:r w:rsidR="00176500">
        <w:rPr>
          <w:rFonts w:ascii="Arial" w:hAnsi="Arial" w:cs="Arial"/>
          <w:b/>
          <w:bCs/>
          <w:color w:val="000000" w:themeColor="text1"/>
        </w:rPr>
        <w:t>11</w:t>
      </w:r>
      <w:r w:rsidRPr="00711CC4">
        <w:rPr>
          <w:rFonts w:ascii="Arial" w:hAnsi="Arial" w:cs="Arial"/>
          <w:b/>
          <w:bCs/>
          <w:color w:val="000000" w:themeColor="text1"/>
        </w:rPr>
        <w:t>. Análisis de varianza para la incidencia de la enfermedad del mildiu</w:t>
      </w:r>
      <w:bookmarkEnd w:id="63"/>
      <w:bookmarkEnd w:id="64"/>
    </w:p>
    <w:tbl>
      <w:tblPr>
        <w:tblW w:w="8487" w:type="dxa"/>
        <w:jc w:val="center"/>
        <w:tblInd w:w="55" w:type="dxa"/>
        <w:tblCellMar>
          <w:left w:w="70" w:type="dxa"/>
          <w:right w:w="70" w:type="dxa"/>
        </w:tblCellMar>
        <w:tblLook w:val="04A0" w:firstRow="1" w:lastRow="0" w:firstColumn="1" w:lastColumn="0" w:noHBand="0" w:noVBand="1"/>
      </w:tblPr>
      <w:tblGrid>
        <w:gridCol w:w="2613"/>
        <w:gridCol w:w="540"/>
        <w:gridCol w:w="1193"/>
        <w:gridCol w:w="1193"/>
        <w:gridCol w:w="1193"/>
        <w:gridCol w:w="1193"/>
        <w:gridCol w:w="562"/>
      </w:tblGrid>
      <w:tr w:rsidR="00B67794" w:rsidRPr="00711CC4" w:rsidTr="00B67794">
        <w:trPr>
          <w:trHeight w:val="573"/>
          <w:jc w:val="center"/>
        </w:trPr>
        <w:tc>
          <w:tcPr>
            <w:tcW w:w="2613"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F.V</w:t>
            </w:r>
          </w:p>
        </w:tc>
        <w:tc>
          <w:tcPr>
            <w:tcW w:w="540"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G.L</w:t>
            </w:r>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S.C</w:t>
            </w:r>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C.M</w:t>
            </w:r>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proofErr w:type="spellStart"/>
            <w:r w:rsidRPr="00711CC4">
              <w:rPr>
                <w:rFonts w:ascii="Arial" w:eastAsia="Times New Roman" w:hAnsi="Arial" w:cs="Arial"/>
                <w:b/>
                <w:bCs/>
                <w:color w:val="000000"/>
                <w:lang w:eastAsia="es-ES"/>
              </w:rPr>
              <w:t>Fc</w:t>
            </w:r>
            <w:proofErr w:type="spellEnd"/>
          </w:p>
        </w:tc>
        <w:tc>
          <w:tcPr>
            <w:tcW w:w="1193"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Ft(0,05)</w:t>
            </w:r>
          </w:p>
        </w:tc>
        <w:tc>
          <w:tcPr>
            <w:tcW w:w="562" w:type="dxa"/>
            <w:tcBorders>
              <w:top w:val="single" w:sz="4" w:space="0" w:color="auto"/>
              <w:left w:val="nil"/>
              <w:bottom w:val="single" w:sz="4" w:space="0" w:color="auto"/>
              <w:right w:val="single" w:sz="4" w:space="0" w:color="auto"/>
            </w:tcBorders>
            <w:shd w:val="clear" w:color="000000" w:fill="D8E4BC"/>
            <w:noWrap/>
            <w:vAlign w:val="bottom"/>
            <w:hideMark/>
          </w:tcPr>
          <w:p w:rsidR="00B67794" w:rsidRPr="00711CC4" w:rsidRDefault="00B67794" w:rsidP="00032094">
            <w:pPr>
              <w:spacing w:after="0" w:line="360" w:lineRule="auto"/>
              <w:jc w:val="both"/>
              <w:rPr>
                <w:rFonts w:ascii="Arial" w:eastAsia="Times New Roman" w:hAnsi="Arial" w:cs="Arial"/>
                <w:b/>
                <w:bCs/>
                <w:color w:val="000000"/>
                <w:lang w:eastAsia="es-ES"/>
              </w:rPr>
            </w:pPr>
            <w:r w:rsidRPr="00711CC4">
              <w:rPr>
                <w:rFonts w:ascii="Arial" w:eastAsia="Times New Roman" w:hAnsi="Arial" w:cs="Arial"/>
                <w:b/>
                <w:bCs/>
                <w:color w:val="000000"/>
                <w:lang w:eastAsia="es-ES"/>
              </w:rPr>
              <w:t> </w:t>
            </w:r>
          </w:p>
        </w:tc>
      </w:tr>
      <w:tr w:rsidR="00B67794" w:rsidRPr="00711CC4" w:rsidTr="00B67794">
        <w:trPr>
          <w:trHeight w:val="495"/>
          <w:jc w:val="center"/>
        </w:trPr>
        <w:tc>
          <w:tcPr>
            <w:tcW w:w="261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484,87</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161,62</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1,33</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0,32</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Ns</w:t>
            </w:r>
            <w:proofErr w:type="spellEnd"/>
          </w:p>
        </w:tc>
      </w:tr>
      <w:tr w:rsidR="00B67794" w:rsidRPr="00711CC4" w:rsidTr="00B67794">
        <w:trPr>
          <w:trHeight w:val="300"/>
          <w:jc w:val="center"/>
        </w:trPr>
        <w:tc>
          <w:tcPr>
            <w:tcW w:w="261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4887,25</w:t>
            </w:r>
          </w:p>
        </w:tc>
        <w:tc>
          <w:tcPr>
            <w:tcW w:w="1193" w:type="dxa"/>
            <w:tcBorders>
              <w:top w:val="nil"/>
              <w:left w:val="nil"/>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1629,08</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13,44</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0,0011</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00"/>
          <w:jc w:val="center"/>
        </w:trPr>
        <w:tc>
          <w:tcPr>
            <w:tcW w:w="261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1091,22</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121,25</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480"/>
          <w:jc w:val="center"/>
        </w:trPr>
        <w:tc>
          <w:tcPr>
            <w:tcW w:w="2613" w:type="dxa"/>
            <w:tcBorders>
              <w:top w:val="nil"/>
              <w:left w:val="single" w:sz="4" w:space="0" w:color="auto"/>
              <w:bottom w:val="single" w:sz="4" w:space="0" w:color="auto"/>
              <w:right w:val="single" w:sz="4" w:space="0" w:color="auto"/>
            </w:tcBorders>
            <w:shd w:val="clear" w:color="000000" w:fill="FFFFFF"/>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540"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193"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6463,34</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193" w:type="dxa"/>
            <w:tcBorders>
              <w:top w:val="nil"/>
              <w:left w:val="nil"/>
              <w:bottom w:val="single" w:sz="4" w:space="0" w:color="auto"/>
              <w:right w:val="single" w:sz="4" w:space="0" w:color="auto"/>
            </w:tcBorders>
            <w:shd w:val="clear" w:color="000000" w:fill="D9D9D9"/>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line="360" w:lineRule="auto"/>
        <w:jc w:val="both"/>
        <w:rPr>
          <w:rFonts w:ascii="Arial" w:hAnsi="Arial" w:cs="Arial"/>
        </w:rPr>
      </w:pPr>
      <w:r w:rsidRPr="00711CC4">
        <w:rPr>
          <w:rFonts w:ascii="Arial" w:hAnsi="Arial" w:cs="Arial"/>
        </w:rPr>
        <w:t xml:space="preserve">FV=Fuente de variación  GL=Grados de libertad  NS=No significativo  **=Altamente significativo  </w:t>
      </w:r>
    </w:p>
    <w:p w:rsidR="00B67794" w:rsidRPr="00711CC4" w:rsidRDefault="00B67794" w:rsidP="00032094">
      <w:pPr>
        <w:spacing w:line="360" w:lineRule="auto"/>
        <w:jc w:val="both"/>
        <w:rPr>
          <w:rFonts w:ascii="Arial" w:hAnsi="Arial" w:cs="Arial"/>
        </w:rPr>
      </w:pPr>
      <w:r w:rsidRPr="00711CC4">
        <w:rPr>
          <w:rFonts w:ascii="Arial" w:hAnsi="Arial" w:cs="Arial"/>
        </w:rPr>
        <w:t>El coeficiente de variación fue de 18,95% que indica que los datos tomados son confiables.</w:t>
      </w:r>
    </w:p>
    <w:p w:rsidR="00B67794" w:rsidRPr="00711CC4" w:rsidRDefault="00B67794" w:rsidP="00032094">
      <w:pPr>
        <w:spacing w:line="360" w:lineRule="auto"/>
        <w:jc w:val="both"/>
        <w:rPr>
          <w:rFonts w:ascii="Arial" w:hAnsi="Arial" w:cs="Arial"/>
        </w:rPr>
      </w:pPr>
      <w:r w:rsidRPr="00711CC4">
        <w:rPr>
          <w:rFonts w:ascii="Arial" w:hAnsi="Arial" w:cs="Arial"/>
        </w:rPr>
        <w:lastRenderedPageBreak/>
        <w:t xml:space="preserve">Para bloques, se tiene como resultado no significativo,  lo que demuestra que no </w:t>
      </w:r>
      <w:r w:rsidR="00176500" w:rsidRPr="00711CC4">
        <w:rPr>
          <w:rFonts w:ascii="Arial" w:hAnsi="Arial" w:cs="Arial"/>
        </w:rPr>
        <w:t>existen</w:t>
      </w:r>
      <w:r w:rsidRPr="00711CC4">
        <w:rPr>
          <w:rFonts w:ascii="Arial" w:hAnsi="Arial" w:cs="Arial"/>
        </w:rPr>
        <w:t xml:space="preserve">  diferencias entre bloques  en cuanto a los promedios obtenidos.</w:t>
      </w:r>
    </w:p>
    <w:p w:rsidR="00B67794" w:rsidRPr="00711CC4" w:rsidRDefault="00B67794" w:rsidP="00032094">
      <w:pPr>
        <w:spacing w:line="360" w:lineRule="auto"/>
        <w:jc w:val="both"/>
        <w:rPr>
          <w:rFonts w:ascii="Arial" w:hAnsi="Arial" w:cs="Arial"/>
        </w:rPr>
      </w:pPr>
      <w:r w:rsidRPr="00711CC4">
        <w:rPr>
          <w:rFonts w:ascii="Arial" w:hAnsi="Arial" w:cs="Arial"/>
        </w:rPr>
        <w:t xml:space="preserve">En cuanto a los tratamientos, existió una diferencia altamente significativa, es decir que logran diferentes resultados, por lo cual se realizó la prueba Duncan a un nivel de 5% de probabilidad,  que se muestra a continuación. </w:t>
      </w:r>
    </w:p>
    <w:p w:rsidR="00B67794" w:rsidRPr="00711CC4" w:rsidRDefault="00B67794" w:rsidP="00FB351E">
      <w:pPr>
        <w:keepNext/>
        <w:spacing w:line="360" w:lineRule="auto"/>
        <w:jc w:val="center"/>
        <w:rPr>
          <w:rFonts w:ascii="Arial" w:hAnsi="Arial" w:cs="Arial"/>
        </w:rPr>
      </w:pPr>
      <w:r w:rsidRPr="00711CC4">
        <w:rPr>
          <w:rFonts w:ascii="Arial" w:hAnsi="Arial" w:cs="Arial"/>
          <w:noProof/>
          <w:lang w:eastAsia="es-ES"/>
        </w:rPr>
        <w:drawing>
          <wp:inline distT="0" distB="0" distL="0" distR="0" wp14:anchorId="459EC19A" wp14:editId="7675FB59">
            <wp:extent cx="5118652" cy="2037522"/>
            <wp:effectExtent l="0" t="0" r="25400" b="2032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67794" w:rsidRPr="00711CC4" w:rsidRDefault="00B67794" w:rsidP="00FB351E">
      <w:pPr>
        <w:spacing w:line="360" w:lineRule="auto"/>
        <w:jc w:val="center"/>
        <w:rPr>
          <w:rFonts w:ascii="Arial" w:hAnsi="Arial" w:cs="Arial"/>
          <w:b/>
          <w:bCs/>
          <w:color w:val="000000" w:themeColor="text1"/>
        </w:rPr>
      </w:pPr>
      <w:bookmarkStart w:id="65" w:name="_Toc64025911"/>
      <w:r w:rsidRPr="00711CC4">
        <w:rPr>
          <w:rFonts w:ascii="Arial" w:hAnsi="Arial" w:cs="Arial"/>
          <w:b/>
          <w:bCs/>
          <w:color w:val="000000" w:themeColor="text1"/>
        </w:rPr>
        <w:t>Figura</w:t>
      </w:r>
      <w:r w:rsidR="00FB351E">
        <w:rPr>
          <w:rFonts w:ascii="Arial" w:hAnsi="Arial" w:cs="Arial"/>
          <w:b/>
          <w:bCs/>
          <w:color w:val="000000" w:themeColor="text1"/>
        </w:rPr>
        <w:t xml:space="preserve"> 8</w:t>
      </w:r>
      <w:r w:rsidRPr="00711CC4">
        <w:rPr>
          <w:rFonts w:ascii="Arial" w:hAnsi="Arial" w:cs="Arial"/>
          <w:b/>
          <w:bCs/>
          <w:color w:val="000000" w:themeColor="text1"/>
        </w:rPr>
        <w:t>. Comparación de medias para el porcentaje de incidencia de la enfermedad del mildiu, de los genotipos de la generación M3 de quinua. (Duncan α=0.05)</w:t>
      </w:r>
      <w:bookmarkEnd w:id="65"/>
    </w:p>
    <w:p w:rsidR="00B67794" w:rsidRPr="00711CC4" w:rsidRDefault="00B67794" w:rsidP="00032094">
      <w:pPr>
        <w:spacing w:line="360" w:lineRule="auto"/>
        <w:jc w:val="both"/>
        <w:rPr>
          <w:rFonts w:ascii="Arial" w:hAnsi="Arial" w:cs="Arial"/>
        </w:rPr>
      </w:pPr>
      <w:r w:rsidRPr="00711CC4">
        <w:rPr>
          <w:rFonts w:ascii="Arial" w:hAnsi="Arial" w:cs="Arial"/>
        </w:rPr>
        <w:t xml:space="preserve">La diferencia de las medias  de los genotipos para el porcentaje de incidencia, mediante la prueba de Duncan al nivel de probabilidad del </w:t>
      </w:r>
      <w:r w:rsidR="00FB351E">
        <w:rPr>
          <w:rFonts w:ascii="Arial" w:hAnsi="Arial" w:cs="Arial"/>
        </w:rPr>
        <w:t xml:space="preserve"> 5%  de significancia (figura 8</w:t>
      </w:r>
      <w:r w:rsidRPr="00711CC4">
        <w:rPr>
          <w:rFonts w:ascii="Arial" w:hAnsi="Arial" w:cs="Arial"/>
        </w:rPr>
        <w:t>), se puede apreciar  dos grupos donde el testigo y T1 (G-7)  obtuvieron medias similares con promedios de 79,40% y 69,67% y en el segundo grupo se encuentran el T3 (G-15) y T2 (G-10)  con promedios de 48,65% y 34,76% con valores similares, cuales obtuvieron menor porcentaje de  incidencia de plantas enfermas.</w:t>
      </w:r>
    </w:p>
    <w:p w:rsidR="00B67794" w:rsidRPr="00711CC4" w:rsidRDefault="00B67794" w:rsidP="00032094">
      <w:pPr>
        <w:keepNext/>
        <w:keepLines/>
        <w:numPr>
          <w:ilvl w:val="2"/>
          <w:numId w:val="25"/>
        </w:numPr>
        <w:spacing w:before="200" w:after="0" w:line="360" w:lineRule="auto"/>
        <w:jc w:val="both"/>
        <w:outlineLvl w:val="2"/>
        <w:rPr>
          <w:rFonts w:ascii="Arial" w:eastAsiaTheme="majorEastAsia" w:hAnsi="Arial" w:cs="Arial"/>
          <w:b/>
          <w:bCs/>
          <w:color w:val="000000" w:themeColor="text1"/>
        </w:rPr>
      </w:pPr>
      <w:bookmarkStart w:id="66" w:name="_Toc65306589"/>
      <w:r w:rsidRPr="00711CC4">
        <w:rPr>
          <w:rFonts w:ascii="Arial" w:eastAsiaTheme="majorEastAsia" w:hAnsi="Arial" w:cs="Arial"/>
          <w:b/>
          <w:bCs/>
          <w:color w:val="000000" w:themeColor="text1"/>
        </w:rPr>
        <w:t>Progreso de la enfermedad por fases fenológicas de quinua</w:t>
      </w:r>
      <w:bookmarkEnd w:id="66"/>
    </w:p>
    <w:p w:rsidR="00B67794" w:rsidRPr="00711CC4" w:rsidRDefault="00B67794" w:rsidP="00032094">
      <w:pPr>
        <w:tabs>
          <w:tab w:val="left" w:pos="5459"/>
        </w:tabs>
        <w:spacing w:line="360" w:lineRule="auto"/>
        <w:jc w:val="both"/>
        <w:rPr>
          <w:rFonts w:ascii="Arial" w:hAnsi="Arial" w:cs="Arial"/>
        </w:rPr>
      </w:pPr>
      <w:r w:rsidRPr="00711CC4">
        <w:rPr>
          <w:rFonts w:ascii="Arial" w:hAnsi="Arial" w:cs="Arial"/>
        </w:rPr>
        <w:tab/>
      </w:r>
    </w:p>
    <w:p w:rsidR="00B67794" w:rsidRPr="00711CC4" w:rsidRDefault="00B67794" w:rsidP="00032094">
      <w:pPr>
        <w:spacing w:line="360" w:lineRule="auto"/>
        <w:jc w:val="both"/>
        <w:rPr>
          <w:rFonts w:ascii="Arial" w:hAnsi="Arial" w:cs="Arial"/>
          <w:b/>
        </w:rPr>
      </w:pPr>
      <w:r w:rsidRPr="00711CC4">
        <w:rPr>
          <w:rFonts w:ascii="Arial" w:hAnsi="Arial" w:cs="Arial"/>
          <w:b/>
        </w:rPr>
        <w:t>a)</w:t>
      </w:r>
      <w:r w:rsidRPr="00711CC4">
        <w:rPr>
          <w:rFonts w:ascii="Arial" w:hAnsi="Arial" w:cs="Arial"/>
          <w:b/>
        </w:rPr>
        <w:tab/>
        <w:t>Evaluación del mildiu en la fase de ocho hojas verdaderas</w:t>
      </w:r>
    </w:p>
    <w:p w:rsidR="00B67794" w:rsidRPr="00711CC4" w:rsidRDefault="00176500" w:rsidP="00032094">
      <w:pPr>
        <w:spacing w:line="360" w:lineRule="auto"/>
        <w:jc w:val="both"/>
        <w:rPr>
          <w:rFonts w:ascii="Arial" w:hAnsi="Arial" w:cs="Arial"/>
        </w:rPr>
      </w:pPr>
      <w:r>
        <w:rPr>
          <w:rFonts w:ascii="Arial" w:hAnsi="Arial" w:cs="Arial"/>
        </w:rPr>
        <w:t>En el cuadro 12</w:t>
      </w:r>
      <w:r w:rsidR="00B67794" w:rsidRPr="00711CC4">
        <w:rPr>
          <w:rFonts w:ascii="Arial" w:hAnsi="Arial" w:cs="Arial"/>
        </w:rPr>
        <w:t xml:space="preserve">, se presenta los resultados del análisis de varianza para la evaluación del mildiu en la fase de ocho hojas verdaderas, entre bloques se tiene como resultado diferencias significativas lo que demuestra que la pendiente tuvo efecto en los resultados para esta variable y entre los tratamientos el resultado muestra que </w:t>
      </w:r>
      <w:r w:rsidR="00B67794" w:rsidRPr="00711CC4">
        <w:rPr>
          <w:rFonts w:ascii="Arial" w:hAnsi="Arial" w:cs="Arial"/>
        </w:rPr>
        <w:lastRenderedPageBreak/>
        <w:t>estadísticamente  existen diferencias significativas respecto al grado  al g</w:t>
      </w:r>
      <w:r w:rsidR="00706C89" w:rsidRPr="00711CC4">
        <w:rPr>
          <w:rFonts w:ascii="Arial" w:hAnsi="Arial" w:cs="Arial"/>
        </w:rPr>
        <w:t>rado de severidad.</w:t>
      </w:r>
    </w:p>
    <w:tbl>
      <w:tblPr>
        <w:tblpPr w:leftFromText="141" w:rightFromText="141" w:vertAnchor="text" w:horzAnchor="margin" w:tblpY="755"/>
        <w:tblW w:w="8872" w:type="dxa"/>
        <w:tblCellMar>
          <w:left w:w="70" w:type="dxa"/>
          <w:right w:w="70" w:type="dxa"/>
        </w:tblCellMar>
        <w:tblLook w:val="04A0" w:firstRow="1" w:lastRow="0" w:firstColumn="1" w:lastColumn="0" w:noHBand="0" w:noVBand="1"/>
      </w:tblPr>
      <w:tblGrid>
        <w:gridCol w:w="2281"/>
        <w:gridCol w:w="1278"/>
        <w:gridCol w:w="1290"/>
        <w:gridCol w:w="1130"/>
        <w:gridCol w:w="989"/>
        <w:gridCol w:w="1271"/>
        <w:gridCol w:w="633"/>
      </w:tblGrid>
      <w:tr w:rsidR="00B67794" w:rsidRPr="00711CC4" w:rsidTr="00B67794">
        <w:trPr>
          <w:trHeight w:val="504"/>
        </w:trPr>
        <w:tc>
          <w:tcPr>
            <w:tcW w:w="2281" w:type="dxa"/>
            <w:tcBorders>
              <w:top w:val="single" w:sz="8" w:space="0" w:color="auto"/>
              <w:left w:val="single" w:sz="8" w:space="0" w:color="auto"/>
              <w:bottom w:val="single" w:sz="8" w:space="0" w:color="auto"/>
              <w:right w:val="single" w:sz="8" w:space="0" w:color="auto"/>
            </w:tcBorders>
            <w:shd w:val="clear" w:color="000000" w:fill="76933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bookmarkStart w:id="67" w:name="_Toc57032783"/>
            <w:bookmarkStart w:id="68" w:name="_Toc57857662"/>
            <w:r w:rsidRPr="00711CC4">
              <w:rPr>
                <w:rFonts w:ascii="Arial" w:eastAsia="Times New Roman" w:hAnsi="Arial" w:cs="Arial"/>
                <w:color w:val="000000"/>
                <w:lang w:eastAsia="es-ES"/>
              </w:rPr>
              <w:t>F.V</w:t>
            </w:r>
          </w:p>
          <w:p w:rsidR="0095154F" w:rsidRPr="00711CC4" w:rsidRDefault="0095154F" w:rsidP="00032094">
            <w:pPr>
              <w:spacing w:after="0" w:line="360" w:lineRule="auto"/>
              <w:jc w:val="both"/>
              <w:rPr>
                <w:rFonts w:ascii="Arial" w:eastAsia="Times New Roman" w:hAnsi="Arial" w:cs="Arial"/>
                <w:color w:val="000000"/>
                <w:lang w:eastAsia="es-ES"/>
              </w:rPr>
            </w:pPr>
          </w:p>
        </w:tc>
        <w:tc>
          <w:tcPr>
            <w:tcW w:w="1278" w:type="dxa"/>
            <w:tcBorders>
              <w:top w:val="single" w:sz="8" w:space="0" w:color="auto"/>
              <w:left w:val="nil"/>
              <w:bottom w:val="single" w:sz="8" w:space="0" w:color="auto"/>
              <w:right w:val="single" w:sz="8" w:space="0" w:color="auto"/>
            </w:tcBorders>
            <w:shd w:val="clear" w:color="000000" w:fill="76933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G.L</w:t>
            </w:r>
          </w:p>
        </w:tc>
        <w:tc>
          <w:tcPr>
            <w:tcW w:w="1290" w:type="dxa"/>
            <w:tcBorders>
              <w:top w:val="single" w:sz="8" w:space="0" w:color="auto"/>
              <w:left w:val="nil"/>
              <w:bottom w:val="single" w:sz="8" w:space="0" w:color="auto"/>
              <w:right w:val="single" w:sz="8" w:space="0" w:color="auto"/>
            </w:tcBorders>
            <w:shd w:val="clear" w:color="000000" w:fill="76933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S.C</w:t>
            </w:r>
          </w:p>
        </w:tc>
        <w:tc>
          <w:tcPr>
            <w:tcW w:w="1130" w:type="dxa"/>
            <w:tcBorders>
              <w:top w:val="single" w:sz="8" w:space="0" w:color="auto"/>
              <w:left w:val="nil"/>
              <w:bottom w:val="single" w:sz="8" w:space="0" w:color="auto"/>
              <w:right w:val="single" w:sz="8" w:space="0" w:color="auto"/>
            </w:tcBorders>
            <w:shd w:val="clear" w:color="000000" w:fill="76933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C.M</w:t>
            </w:r>
          </w:p>
        </w:tc>
        <w:tc>
          <w:tcPr>
            <w:tcW w:w="989" w:type="dxa"/>
            <w:tcBorders>
              <w:top w:val="single" w:sz="8" w:space="0" w:color="auto"/>
              <w:left w:val="nil"/>
              <w:bottom w:val="single" w:sz="8" w:space="0" w:color="auto"/>
              <w:right w:val="single" w:sz="8" w:space="0" w:color="auto"/>
            </w:tcBorders>
            <w:shd w:val="clear" w:color="000000" w:fill="76933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Fc</w:t>
            </w:r>
            <w:proofErr w:type="spellEnd"/>
          </w:p>
        </w:tc>
        <w:tc>
          <w:tcPr>
            <w:tcW w:w="1271" w:type="dxa"/>
            <w:tcBorders>
              <w:top w:val="single" w:sz="8" w:space="0" w:color="auto"/>
              <w:left w:val="nil"/>
              <w:bottom w:val="single" w:sz="8" w:space="0" w:color="auto"/>
              <w:right w:val="single" w:sz="8" w:space="0" w:color="auto"/>
            </w:tcBorders>
            <w:shd w:val="clear" w:color="000000" w:fill="76933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Ft(0,05)</w:t>
            </w:r>
          </w:p>
        </w:tc>
        <w:tc>
          <w:tcPr>
            <w:tcW w:w="633" w:type="dxa"/>
            <w:tcBorders>
              <w:top w:val="single" w:sz="8" w:space="0" w:color="auto"/>
              <w:left w:val="nil"/>
              <w:bottom w:val="single" w:sz="8" w:space="0" w:color="auto"/>
              <w:right w:val="single" w:sz="8" w:space="0" w:color="auto"/>
            </w:tcBorders>
            <w:shd w:val="clear" w:color="000000" w:fill="76933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403"/>
        </w:trPr>
        <w:tc>
          <w:tcPr>
            <w:tcW w:w="2281"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127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9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0,014</w:t>
            </w:r>
          </w:p>
        </w:tc>
        <w:tc>
          <w:tcPr>
            <w:tcW w:w="113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0,005</w:t>
            </w:r>
          </w:p>
        </w:tc>
        <w:tc>
          <w:tcPr>
            <w:tcW w:w="989"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1,027</w:t>
            </w:r>
          </w:p>
        </w:tc>
        <w:tc>
          <w:tcPr>
            <w:tcW w:w="127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0,426</w:t>
            </w:r>
          </w:p>
        </w:tc>
        <w:tc>
          <w:tcPr>
            <w:tcW w:w="633"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27"/>
        </w:trPr>
        <w:tc>
          <w:tcPr>
            <w:tcW w:w="2281"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127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9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0,125</w:t>
            </w:r>
          </w:p>
        </w:tc>
        <w:tc>
          <w:tcPr>
            <w:tcW w:w="1130" w:type="dxa"/>
            <w:tcBorders>
              <w:top w:val="nil"/>
              <w:left w:val="nil"/>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0,042</w:t>
            </w:r>
          </w:p>
        </w:tc>
        <w:tc>
          <w:tcPr>
            <w:tcW w:w="989"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8,8427</w:t>
            </w:r>
          </w:p>
        </w:tc>
        <w:tc>
          <w:tcPr>
            <w:tcW w:w="127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0,005</w:t>
            </w:r>
          </w:p>
        </w:tc>
        <w:tc>
          <w:tcPr>
            <w:tcW w:w="633"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27"/>
        </w:trPr>
        <w:tc>
          <w:tcPr>
            <w:tcW w:w="2281"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127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29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0,042</w:t>
            </w:r>
          </w:p>
        </w:tc>
        <w:tc>
          <w:tcPr>
            <w:tcW w:w="113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0,005</w:t>
            </w:r>
          </w:p>
        </w:tc>
        <w:tc>
          <w:tcPr>
            <w:tcW w:w="989"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71"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33"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327"/>
        </w:trPr>
        <w:tc>
          <w:tcPr>
            <w:tcW w:w="2281"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1278"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29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0,181</w:t>
            </w:r>
          </w:p>
        </w:tc>
        <w:tc>
          <w:tcPr>
            <w:tcW w:w="113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989"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71"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33"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keepNext/>
        <w:spacing w:line="360" w:lineRule="auto"/>
        <w:jc w:val="both"/>
        <w:rPr>
          <w:rFonts w:ascii="Arial" w:hAnsi="Arial" w:cs="Arial"/>
          <w:b/>
          <w:bCs/>
          <w:color w:val="000000" w:themeColor="text1"/>
        </w:rPr>
      </w:pPr>
      <w:r w:rsidRPr="00711CC4">
        <w:rPr>
          <w:rFonts w:ascii="Arial" w:hAnsi="Arial" w:cs="Arial"/>
          <w:b/>
          <w:bCs/>
          <w:color w:val="000000" w:themeColor="text1"/>
        </w:rPr>
        <w:t xml:space="preserve">Cuadro  </w:t>
      </w:r>
      <w:r w:rsidR="00176500">
        <w:rPr>
          <w:rFonts w:ascii="Arial" w:hAnsi="Arial" w:cs="Arial"/>
          <w:b/>
          <w:bCs/>
          <w:color w:val="000000" w:themeColor="text1"/>
        </w:rPr>
        <w:t>12</w:t>
      </w:r>
      <w:r w:rsidRPr="00711CC4">
        <w:rPr>
          <w:rFonts w:ascii="Arial" w:hAnsi="Arial" w:cs="Arial"/>
          <w:b/>
          <w:bCs/>
          <w:color w:val="000000" w:themeColor="text1"/>
        </w:rPr>
        <w:t>. Análisis de varianza para el grado de severidad del mildiu en la fase de ocho hojas verdaderas.</w:t>
      </w:r>
      <w:bookmarkEnd w:id="67"/>
      <w:bookmarkEnd w:id="68"/>
    </w:p>
    <w:p w:rsidR="00B67794" w:rsidRPr="00711CC4" w:rsidRDefault="00B67794" w:rsidP="00032094">
      <w:pPr>
        <w:spacing w:line="360" w:lineRule="auto"/>
        <w:jc w:val="both"/>
        <w:rPr>
          <w:rFonts w:ascii="Arial" w:hAnsi="Arial" w:cs="Arial"/>
        </w:rPr>
      </w:pPr>
      <w:r w:rsidRPr="00711CC4">
        <w:rPr>
          <w:rFonts w:ascii="Arial" w:hAnsi="Arial" w:cs="Arial"/>
        </w:rPr>
        <w:t>FV=Fuente de variación        GL=Grados de libertad     *= Significativo</w:t>
      </w:r>
    </w:p>
    <w:p w:rsidR="00B67794" w:rsidRPr="00711CC4" w:rsidRDefault="00B67794" w:rsidP="00032094">
      <w:pPr>
        <w:spacing w:line="360" w:lineRule="auto"/>
        <w:jc w:val="both"/>
        <w:rPr>
          <w:rFonts w:ascii="Arial" w:hAnsi="Arial" w:cs="Arial"/>
        </w:rPr>
      </w:pPr>
      <w:r w:rsidRPr="00711CC4">
        <w:rPr>
          <w:rFonts w:ascii="Arial" w:hAnsi="Arial" w:cs="Arial"/>
        </w:rPr>
        <w:t>CV= 20.5%</w:t>
      </w:r>
    </w:p>
    <w:p w:rsidR="00B67794" w:rsidRPr="00711CC4" w:rsidRDefault="00B67794" w:rsidP="00FB351E">
      <w:pPr>
        <w:keepNext/>
        <w:spacing w:line="360" w:lineRule="auto"/>
        <w:jc w:val="center"/>
        <w:rPr>
          <w:rFonts w:ascii="Arial" w:hAnsi="Arial" w:cs="Arial"/>
        </w:rPr>
      </w:pPr>
      <w:r w:rsidRPr="00711CC4">
        <w:rPr>
          <w:rFonts w:ascii="Arial" w:hAnsi="Arial" w:cs="Arial"/>
          <w:noProof/>
          <w:lang w:eastAsia="es-ES"/>
        </w:rPr>
        <w:drawing>
          <wp:inline distT="0" distB="0" distL="0" distR="0" wp14:anchorId="27386D56" wp14:editId="3AC73437">
            <wp:extent cx="5400675" cy="1914525"/>
            <wp:effectExtent l="0" t="0" r="9525"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67794" w:rsidRPr="00711CC4" w:rsidRDefault="00B67794" w:rsidP="00FB351E">
      <w:pPr>
        <w:spacing w:line="360" w:lineRule="auto"/>
        <w:jc w:val="center"/>
        <w:rPr>
          <w:rFonts w:ascii="Arial" w:hAnsi="Arial" w:cs="Arial"/>
          <w:b/>
          <w:bCs/>
          <w:color w:val="000000" w:themeColor="text1"/>
        </w:rPr>
      </w:pPr>
      <w:bookmarkStart w:id="69" w:name="_Toc64025912"/>
      <w:r w:rsidRPr="00711CC4">
        <w:rPr>
          <w:rFonts w:ascii="Arial" w:hAnsi="Arial" w:cs="Arial"/>
          <w:b/>
          <w:bCs/>
          <w:color w:val="000000" w:themeColor="text1"/>
        </w:rPr>
        <w:t>Figura</w:t>
      </w:r>
      <w:r w:rsidR="00FB351E">
        <w:rPr>
          <w:rFonts w:ascii="Arial" w:hAnsi="Arial" w:cs="Arial"/>
          <w:b/>
          <w:bCs/>
          <w:color w:val="000000" w:themeColor="text1"/>
        </w:rPr>
        <w:t xml:space="preserve"> 9</w:t>
      </w:r>
      <w:r w:rsidRPr="00711CC4">
        <w:rPr>
          <w:rFonts w:ascii="Arial" w:hAnsi="Arial" w:cs="Arial"/>
          <w:b/>
          <w:bCs/>
          <w:color w:val="000000" w:themeColor="text1"/>
        </w:rPr>
        <w:t>.  Comparación de medias  para el grado de severidad del mildiu  en fase de ocho hojas verdaderas de los genotipos de la generación M3 de quinua. (Duncan α=0.05)</w:t>
      </w:r>
      <w:bookmarkEnd w:id="69"/>
    </w:p>
    <w:p w:rsidR="00B67794" w:rsidRPr="00711CC4" w:rsidRDefault="00B67794" w:rsidP="00032094">
      <w:pPr>
        <w:spacing w:line="360" w:lineRule="auto"/>
        <w:jc w:val="both"/>
        <w:rPr>
          <w:rFonts w:ascii="Arial" w:hAnsi="Arial" w:cs="Arial"/>
        </w:rPr>
      </w:pPr>
      <w:r w:rsidRPr="00711CC4">
        <w:rPr>
          <w:rFonts w:ascii="Arial" w:hAnsi="Arial" w:cs="Arial"/>
        </w:rPr>
        <w:t xml:space="preserve">De acuerdo a la prueba Duncan a nivel de </w:t>
      </w:r>
      <w:r w:rsidR="00FB351E">
        <w:rPr>
          <w:rFonts w:ascii="Arial" w:hAnsi="Arial" w:cs="Arial"/>
        </w:rPr>
        <w:t>5% de significancia la figura 9</w:t>
      </w:r>
      <w:r w:rsidRPr="00711CC4">
        <w:rPr>
          <w:rFonts w:ascii="Arial" w:hAnsi="Arial" w:cs="Arial"/>
        </w:rPr>
        <w:t xml:space="preserve"> muestra, que el testigo presentó mayor porcentaje de severidad  con un promedio de 0.39%. Los genotipos T1, T2 y T3  presentaron medias similares con promedios de 0.16%, 0.20% y 0.28% de severidad para la fase de ocho hojas verdaderas (42 días después de la siembra). </w:t>
      </w:r>
    </w:p>
    <w:p w:rsidR="00B67794" w:rsidRPr="00711CC4" w:rsidRDefault="00B67794" w:rsidP="00032094">
      <w:pPr>
        <w:spacing w:after="0" w:line="360" w:lineRule="auto"/>
        <w:jc w:val="both"/>
        <w:rPr>
          <w:rFonts w:ascii="Arial" w:hAnsi="Arial" w:cs="Arial"/>
        </w:rPr>
      </w:pPr>
      <w:r w:rsidRPr="00711CC4">
        <w:rPr>
          <w:rFonts w:ascii="Arial" w:hAnsi="Arial" w:cs="Arial"/>
        </w:rPr>
        <w:lastRenderedPageBreak/>
        <w:t>Según el estudio realizado por More (2016) los síntomas se presentaron a partir de los 34 días después de la siembra con severidad  entre 0,27 -5.65%, siendo los síntomas iniciales  pequeños puntos cloróticos amarillentos visibles en el haz de las  hojas. Los resultados obtenidos para el presente trabajo   de investigación  concuerdan con lo mencionado por More (2016) ya que el grado de severidad se encuentra  por debajo del 1%.</w:t>
      </w:r>
    </w:p>
    <w:p w:rsidR="00B67794" w:rsidRPr="00711CC4" w:rsidRDefault="00B67794" w:rsidP="00032094">
      <w:pPr>
        <w:spacing w:after="0" w:line="360" w:lineRule="auto"/>
        <w:jc w:val="both"/>
        <w:rPr>
          <w:rFonts w:ascii="Arial" w:hAnsi="Arial" w:cs="Arial"/>
        </w:rPr>
      </w:pPr>
      <w:r w:rsidRPr="00711CC4">
        <w:rPr>
          <w:rFonts w:ascii="Arial" w:hAnsi="Arial" w:cs="Arial"/>
          <w:b/>
        </w:rPr>
        <w:tab/>
      </w:r>
    </w:p>
    <w:p w:rsidR="00B67794" w:rsidRPr="00711CC4" w:rsidRDefault="00B67794" w:rsidP="00032094">
      <w:pPr>
        <w:spacing w:line="360" w:lineRule="auto"/>
        <w:jc w:val="both"/>
        <w:rPr>
          <w:rFonts w:ascii="Arial" w:hAnsi="Arial" w:cs="Arial"/>
          <w:b/>
        </w:rPr>
      </w:pPr>
      <w:r w:rsidRPr="00711CC4">
        <w:rPr>
          <w:rFonts w:ascii="Arial" w:hAnsi="Arial" w:cs="Arial"/>
          <w:b/>
        </w:rPr>
        <w:t>b)</w:t>
      </w:r>
      <w:r w:rsidRPr="00711CC4">
        <w:rPr>
          <w:rFonts w:ascii="Arial" w:hAnsi="Arial" w:cs="Arial"/>
          <w:b/>
        </w:rPr>
        <w:tab/>
        <w:t xml:space="preserve">Evaluación del mildiu en la fase de ramificación </w:t>
      </w:r>
    </w:p>
    <w:p w:rsidR="00B67794" w:rsidRPr="00711CC4" w:rsidRDefault="00176500" w:rsidP="00032094">
      <w:pPr>
        <w:spacing w:line="360" w:lineRule="auto"/>
        <w:jc w:val="both"/>
        <w:rPr>
          <w:rFonts w:ascii="Arial" w:hAnsi="Arial" w:cs="Arial"/>
        </w:rPr>
      </w:pPr>
      <w:r>
        <w:rPr>
          <w:rFonts w:ascii="Arial" w:hAnsi="Arial" w:cs="Arial"/>
        </w:rPr>
        <w:t>En el  cuadro 13</w:t>
      </w:r>
      <w:r w:rsidR="00B67794" w:rsidRPr="00711CC4">
        <w:rPr>
          <w:rFonts w:ascii="Arial" w:hAnsi="Arial" w:cs="Arial"/>
        </w:rPr>
        <w:t>, se observa el análisis de varianza  del grado de severidad en la  fase de ramificación de genotipos mutantes y Real negra a los 56 días después de la siembra.</w:t>
      </w:r>
    </w:p>
    <w:p w:rsidR="00B67794" w:rsidRPr="00711CC4" w:rsidRDefault="00B67794" w:rsidP="00032094">
      <w:pPr>
        <w:keepNext/>
        <w:spacing w:line="360" w:lineRule="auto"/>
        <w:jc w:val="both"/>
        <w:rPr>
          <w:rFonts w:ascii="Arial" w:hAnsi="Arial" w:cs="Arial"/>
          <w:b/>
          <w:bCs/>
          <w:color w:val="000000" w:themeColor="text1"/>
        </w:rPr>
      </w:pPr>
      <w:bookmarkStart w:id="70" w:name="_Toc57032784"/>
      <w:bookmarkStart w:id="71" w:name="_Toc57857663"/>
      <w:r w:rsidRPr="00711CC4">
        <w:rPr>
          <w:rFonts w:ascii="Arial" w:hAnsi="Arial" w:cs="Arial"/>
          <w:b/>
          <w:bCs/>
          <w:color w:val="000000" w:themeColor="text1"/>
        </w:rPr>
        <w:t xml:space="preserve">Cuadro  </w:t>
      </w:r>
      <w:r w:rsidR="00176500">
        <w:rPr>
          <w:rFonts w:ascii="Arial" w:hAnsi="Arial" w:cs="Arial"/>
          <w:b/>
          <w:bCs/>
          <w:color w:val="000000" w:themeColor="text1"/>
        </w:rPr>
        <w:t>13</w:t>
      </w:r>
      <w:r w:rsidRPr="00711CC4">
        <w:rPr>
          <w:rFonts w:ascii="Arial" w:hAnsi="Arial" w:cs="Arial"/>
          <w:b/>
          <w:bCs/>
          <w:color w:val="000000" w:themeColor="text1"/>
        </w:rPr>
        <w:t>. Análisis de varianza del grado de severidad del mildiu en la fase de ramificación</w:t>
      </w:r>
      <w:bookmarkEnd w:id="70"/>
      <w:bookmarkEnd w:id="71"/>
    </w:p>
    <w:tbl>
      <w:tblPr>
        <w:tblW w:w="8197" w:type="dxa"/>
        <w:jc w:val="center"/>
        <w:tblInd w:w="55" w:type="dxa"/>
        <w:tblCellMar>
          <w:left w:w="70" w:type="dxa"/>
          <w:right w:w="70" w:type="dxa"/>
        </w:tblCellMar>
        <w:tblLook w:val="04A0" w:firstRow="1" w:lastRow="0" w:firstColumn="1" w:lastColumn="0" w:noHBand="0" w:noVBand="1"/>
      </w:tblPr>
      <w:tblGrid>
        <w:gridCol w:w="2275"/>
        <w:gridCol w:w="661"/>
        <w:gridCol w:w="1200"/>
        <w:gridCol w:w="1200"/>
        <w:gridCol w:w="1200"/>
        <w:gridCol w:w="1200"/>
        <w:gridCol w:w="461"/>
      </w:tblGrid>
      <w:tr w:rsidR="00B67794" w:rsidRPr="00711CC4" w:rsidTr="00B67794">
        <w:trPr>
          <w:trHeight w:val="524"/>
          <w:jc w:val="center"/>
        </w:trPr>
        <w:tc>
          <w:tcPr>
            <w:tcW w:w="2275" w:type="dxa"/>
            <w:tcBorders>
              <w:top w:val="single" w:sz="8" w:space="0" w:color="auto"/>
              <w:left w:val="single" w:sz="8" w:space="0" w:color="auto"/>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F.V</w:t>
            </w:r>
          </w:p>
        </w:tc>
        <w:tc>
          <w:tcPr>
            <w:tcW w:w="661"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G.L</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S.C</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C.M</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Fc</w:t>
            </w:r>
            <w:proofErr w:type="spellEnd"/>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Ft(0,05)</w:t>
            </w:r>
          </w:p>
        </w:tc>
        <w:tc>
          <w:tcPr>
            <w:tcW w:w="461"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510"/>
          <w:jc w:val="center"/>
        </w:trPr>
        <w:tc>
          <w:tcPr>
            <w:tcW w:w="2275"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29,016</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9,672</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2,382</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0,137</w:t>
            </w:r>
          </w:p>
        </w:tc>
        <w:tc>
          <w:tcPr>
            <w:tcW w:w="4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15"/>
          <w:jc w:val="center"/>
        </w:trPr>
        <w:tc>
          <w:tcPr>
            <w:tcW w:w="2275"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224,762</w:t>
            </w:r>
          </w:p>
        </w:tc>
        <w:tc>
          <w:tcPr>
            <w:tcW w:w="1200" w:type="dxa"/>
            <w:tcBorders>
              <w:top w:val="nil"/>
              <w:left w:val="nil"/>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74,921</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18,452</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0,018</w:t>
            </w:r>
          </w:p>
        </w:tc>
        <w:tc>
          <w:tcPr>
            <w:tcW w:w="4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15"/>
          <w:jc w:val="center"/>
        </w:trPr>
        <w:tc>
          <w:tcPr>
            <w:tcW w:w="2275"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36,542</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4,06</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4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315"/>
          <w:jc w:val="center"/>
        </w:trPr>
        <w:tc>
          <w:tcPr>
            <w:tcW w:w="2275"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290,32</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4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line="360" w:lineRule="auto"/>
        <w:jc w:val="both"/>
        <w:rPr>
          <w:rFonts w:ascii="Arial" w:hAnsi="Arial" w:cs="Arial"/>
        </w:rPr>
      </w:pPr>
      <w:r w:rsidRPr="00711CC4">
        <w:rPr>
          <w:rFonts w:ascii="Arial" w:hAnsi="Arial" w:cs="Arial"/>
        </w:rPr>
        <w:t xml:space="preserve">FV=Fuente de variación       GL=Grados de libertad     *=Significativo  **=Altamente significativo    </w:t>
      </w:r>
    </w:p>
    <w:p w:rsidR="00B67794" w:rsidRPr="00711CC4" w:rsidRDefault="00B67794" w:rsidP="00032094">
      <w:pPr>
        <w:spacing w:line="360" w:lineRule="auto"/>
        <w:jc w:val="both"/>
        <w:rPr>
          <w:rFonts w:ascii="Arial" w:hAnsi="Arial" w:cs="Arial"/>
        </w:rPr>
      </w:pPr>
      <w:r w:rsidRPr="00711CC4">
        <w:rPr>
          <w:rFonts w:ascii="Arial" w:hAnsi="Arial" w:cs="Arial"/>
        </w:rPr>
        <w:t xml:space="preserve"> En el análisis de varianza para el grado de severidad en la fas</w:t>
      </w:r>
      <w:r w:rsidR="00176500">
        <w:rPr>
          <w:rFonts w:ascii="Arial" w:hAnsi="Arial" w:cs="Arial"/>
        </w:rPr>
        <w:t>e de ramificación  del cuadro 13</w:t>
      </w:r>
      <w:r w:rsidRPr="00711CC4">
        <w:rPr>
          <w:rFonts w:ascii="Arial" w:hAnsi="Arial" w:cs="Arial"/>
        </w:rPr>
        <w:t>,  se observa un coeficiente de variación  de 20,1% que indica que los datos son confiables.</w:t>
      </w:r>
    </w:p>
    <w:p w:rsidR="00B67794" w:rsidRPr="00711CC4" w:rsidRDefault="00B67794" w:rsidP="00032094">
      <w:pPr>
        <w:spacing w:line="360" w:lineRule="auto"/>
        <w:jc w:val="both"/>
        <w:rPr>
          <w:rFonts w:ascii="Arial" w:hAnsi="Arial" w:cs="Arial"/>
        </w:rPr>
      </w:pPr>
      <w:r w:rsidRPr="00711CC4">
        <w:rPr>
          <w:rFonts w:ascii="Arial" w:hAnsi="Arial" w:cs="Arial"/>
        </w:rPr>
        <w:t xml:space="preserve">Para bloques se encontró diferencias significativas, lo cual indica que la pendiente tuvo efecto respecto a esta variable. </w:t>
      </w:r>
    </w:p>
    <w:p w:rsidR="00B67794" w:rsidRPr="00711CC4" w:rsidRDefault="00B67794" w:rsidP="00706C89">
      <w:pPr>
        <w:spacing w:line="360" w:lineRule="auto"/>
        <w:jc w:val="both"/>
        <w:rPr>
          <w:rFonts w:ascii="Arial" w:hAnsi="Arial" w:cs="Arial"/>
        </w:rPr>
      </w:pPr>
      <w:r w:rsidRPr="00711CC4">
        <w:rPr>
          <w:rFonts w:ascii="Arial" w:hAnsi="Arial" w:cs="Arial"/>
        </w:rPr>
        <w:t>Para tratamientos se encontró diferencias altamente significativas, lo que indica que los genotipos y el testigo, logran diferentes resultados en cuanto al porcenta</w:t>
      </w:r>
      <w:r w:rsidR="00706C89" w:rsidRPr="00711CC4">
        <w:rPr>
          <w:rFonts w:ascii="Arial" w:hAnsi="Arial" w:cs="Arial"/>
        </w:rPr>
        <w:t xml:space="preserve">je de severidad del mildiu.  </w:t>
      </w:r>
    </w:p>
    <w:p w:rsidR="00B67794" w:rsidRPr="00711CC4" w:rsidRDefault="00B67794" w:rsidP="00FB351E">
      <w:pPr>
        <w:keepNext/>
        <w:spacing w:line="360" w:lineRule="auto"/>
        <w:jc w:val="center"/>
        <w:rPr>
          <w:rFonts w:ascii="Arial" w:hAnsi="Arial" w:cs="Arial"/>
        </w:rPr>
      </w:pPr>
      <w:r w:rsidRPr="00711CC4">
        <w:rPr>
          <w:rFonts w:ascii="Arial" w:hAnsi="Arial" w:cs="Arial"/>
          <w:noProof/>
          <w:lang w:eastAsia="es-ES"/>
        </w:rPr>
        <w:lastRenderedPageBreak/>
        <w:drawing>
          <wp:inline distT="0" distB="0" distL="0" distR="0" wp14:anchorId="081A8E05" wp14:editId="7DC6FB0D">
            <wp:extent cx="5319346" cy="1916723"/>
            <wp:effectExtent l="0" t="0" r="15240" b="2667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7794" w:rsidRPr="00711CC4" w:rsidRDefault="00B67794" w:rsidP="00FB351E">
      <w:pPr>
        <w:spacing w:line="360" w:lineRule="auto"/>
        <w:jc w:val="center"/>
        <w:rPr>
          <w:rFonts w:ascii="Arial" w:hAnsi="Arial" w:cs="Arial"/>
          <w:b/>
          <w:bCs/>
          <w:color w:val="000000" w:themeColor="text1"/>
        </w:rPr>
      </w:pPr>
      <w:bookmarkStart w:id="72" w:name="_Toc64025913"/>
      <w:r w:rsidRPr="00711CC4">
        <w:rPr>
          <w:rFonts w:ascii="Arial" w:hAnsi="Arial" w:cs="Arial"/>
          <w:b/>
          <w:bCs/>
          <w:color w:val="000000" w:themeColor="text1"/>
        </w:rPr>
        <w:t xml:space="preserve">Figura </w:t>
      </w:r>
      <w:r w:rsidR="00FB351E">
        <w:rPr>
          <w:rFonts w:ascii="Arial" w:hAnsi="Arial" w:cs="Arial"/>
          <w:b/>
          <w:bCs/>
          <w:color w:val="000000" w:themeColor="text1"/>
        </w:rPr>
        <w:t>10</w:t>
      </w:r>
      <w:r w:rsidRPr="00711CC4">
        <w:rPr>
          <w:rFonts w:ascii="Arial" w:hAnsi="Arial" w:cs="Arial"/>
          <w:b/>
          <w:bCs/>
          <w:color w:val="000000" w:themeColor="text1"/>
        </w:rPr>
        <w:t>. Comparación de medias  para el grado de severidad del mildiu  en fase de ramificación de los genotipos de la generación M3 de quinua. (Duncan α=0.05)</w:t>
      </w:r>
      <w:bookmarkEnd w:id="72"/>
    </w:p>
    <w:p w:rsidR="00B67794" w:rsidRPr="00711CC4" w:rsidRDefault="00B67794" w:rsidP="00032094">
      <w:pPr>
        <w:spacing w:line="360" w:lineRule="auto"/>
        <w:jc w:val="both"/>
        <w:rPr>
          <w:rFonts w:ascii="Arial" w:hAnsi="Arial" w:cs="Arial"/>
        </w:rPr>
      </w:pPr>
      <w:r w:rsidRPr="00711CC4">
        <w:rPr>
          <w:rFonts w:ascii="Arial" w:hAnsi="Arial" w:cs="Arial"/>
        </w:rPr>
        <w:t>En la comparación de medias d</w:t>
      </w:r>
      <w:r w:rsidR="00FB351E">
        <w:rPr>
          <w:rFonts w:ascii="Arial" w:hAnsi="Arial" w:cs="Arial"/>
        </w:rPr>
        <w:t>el grado de severidad (figura 10</w:t>
      </w:r>
      <w:r w:rsidRPr="00711CC4">
        <w:rPr>
          <w:rFonts w:ascii="Arial" w:hAnsi="Arial" w:cs="Arial"/>
        </w:rPr>
        <w:t xml:space="preserve">) se verifica que el testigo es diferente estadísticamente respecto a los genotipos lo cual se obtiene mayor </w:t>
      </w:r>
      <w:proofErr w:type="gramStart"/>
      <w:r w:rsidRPr="00711CC4">
        <w:rPr>
          <w:rFonts w:ascii="Arial" w:hAnsi="Arial" w:cs="Arial"/>
        </w:rPr>
        <w:t>grado</w:t>
      </w:r>
      <w:proofErr w:type="gramEnd"/>
      <w:r w:rsidRPr="00711CC4">
        <w:rPr>
          <w:rFonts w:ascii="Arial" w:hAnsi="Arial" w:cs="Arial"/>
        </w:rPr>
        <w:t xml:space="preserve"> de severidad (14,31%), mientras que los mutantes presentan valores similares pero inferiores al testigo en la fase de ramificación (56 días después de la siembra). </w:t>
      </w:r>
    </w:p>
    <w:p w:rsidR="00B67794" w:rsidRPr="00711CC4" w:rsidRDefault="00B67794" w:rsidP="00032094">
      <w:pPr>
        <w:spacing w:line="360" w:lineRule="auto"/>
        <w:jc w:val="both"/>
        <w:rPr>
          <w:rFonts w:ascii="Arial" w:hAnsi="Arial" w:cs="Arial"/>
        </w:rPr>
      </w:pPr>
      <w:r w:rsidRPr="00711CC4">
        <w:rPr>
          <w:rFonts w:ascii="Arial" w:hAnsi="Arial" w:cs="Arial"/>
        </w:rPr>
        <w:t xml:space="preserve">Risco y Mattos (2015)  asumen que el incremento de la severidad del mildiu se debe al debilitamiento de los tejidos por la elongación que existe  en esta etapa, dado que la planta se vuelve más susceptible, de manera que en esta fase el patógeno tuvo mayor incremento llegando a un 30 %  de severidad favorecida por el aumento de la humedad del ambiente. </w:t>
      </w:r>
    </w:p>
    <w:p w:rsidR="00B67794" w:rsidRPr="00711CC4" w:rsidRDefault="00B67794" w:rsidP="00032094">
      <w:pPr>
        <w:spacing w:line="360" w:lineRule="auto"/>
        <w:jc w:val="both"/>
        <w:rPr>
          <w:rFonts w:ascii="Arial" w:hAnsi="Arial" w:cs="Arial"/>
          <w:b/>
        </w:rPr>
      </w:pPr>
      <w:r w:rsidRPr="00711CC4">
        <w:rPr>
          <w:rFonts w:ascii="Arial" w:hAnsi="Arial" w:cs="Arial"/>
          <w:b/>
        </w:rPr>
        <w:t>c)</w:t>
      </w:r>
      <w:r w:rsidRPr="00711CC4">
        <w:rPr>
          <w:rFonts w:ascii="Arial" w:hAnsi="Arial" w:cs="Arial"/>
          <w:b/>
        </w:rPr>
        <w:tab/>
        <w:t xml:space="preserve">Evaluación del mildiu en la fase de inicio de </w:t>
      </w:r>
      <w:proofErr w:type="spellStart"/>
      <w:r w:rsidRPr="00711CC4">
        <w:rPr>
          <w:rFonts w:ascii="Arial" w:hAnsi="Arial" w:cs="Arial"/>
          <w:b/>
        </w:rPr>
        <w:t>panojamiento</w:t>
      </w:r>
      <w:proofErr w:type="spellEnd"/>
    </w:p>
    <w:p w:rsidR="00B67794" w:rsidRPr="00711CC4" w:rsidRDefault="00176500" w:rsidP="00032094">
      <w:pPr>
        <w:spacing w:line="360" w:lineRule="auto"/>
        <w:jc w:val="both"/>
        <w:rPr>
          <w:rFonts w:ascii="Arial" w:hAnsi="Arial" w:cs="Arial"/>
        </w:rPr>
      </w:pPr>
      <w:r>
        <w:rPr>
          <w:rFonts w:ascii="Arial" w:hAnsi="Arial" w:cs="Arial"/>
        </w:rPr>
        <w:t>En el cuadro 14</w:t>
      </w:r>
      <w:r w:rsidR="00B67794" w:rsidRPr="00711CC4">
        <w:rPr>
          <w:rFonts w:ascii="Arial" w:hAnsi="Arial" w:cs="Arial"/>
        </w:rPr>
        <w:t xml:space="preserve"> se observa el análisis de varianza para el grado de severidad del mildiu a los 88 días después de la siembra en la fase de inicio de </w:t>
      </w:r>
      <w:proofErr w:type="spellStart"/>
      <w:r w:rsidR="00B67794" w:rsidRPr="00711CC4">
        <w:rPr>
          <w:rFonts w:ascii="Arial" w:hAnsi="Arial" w:cs="Arial"/>
        </w:rPr>
        <w:t>panojamiento</w:t>
      </w:r>
      <w:proofErr w:type="spellEnd"/>
      <w:r w:rsidR="00B67794" w:rsidRPr="00711CC4">
        <w:rPr>
          <w:rFonts w:ascii="Arial" w:hAnsi="Arial" w:cs="Arial"/>
        </w:rPr>
        <w:t xml:space="preserve"> lo cual nos muestra que no existen diferencias entre bloques, pero si entre los tratamientos. </w:t>
      </w:r>
    </w:p>
    <w:p w:rsidR="00B67794" w:rsidRPr="00711CC4" w:rsidRDefault="00B67794" w:rsidP="00176500">
      <w:pPr>
        <w:keepNext/>
        <w:spacing w:line="360" w:lineRule="auto"/>
        <w:jc w:val="center"/>
        <w:rPr>
          <w:rFonts w:ascii="Arial" w:hAnsi="Arial" w:cs="Arial"/>
          <w:b/>
          <w:bCs/>
          <w:color w:val="000000" w:themeColor="text1"/>
        </w:rPr>
      </w:pPr>
      <w:bookmarkStart w:id="73" w:name="_Toc57032785"/>
      <w:bookmarkStart w:id="74" w:name="_Toc57857664"/>
      <w:r w:rsidRPr="00711CC4">
        <w:rPr>
          <w:rFonts w:ascii="Arial" w:hAnsi="Arial" w:cs="Arial"/>
          <w:b/>
          <w:bCs/>
          <w:color w:val="000000" w:themeColor="text1"/>
        </w:rPr>
        <w:t xml:space="preserve">Cuadro  </w:t>
      </w:r>
      <w:r w:rsidR="00176500">
        <w:rPr>
          <w:rFonts w:ascii="Arial" w:hAnsi="Arial" w:cs="Arial"/>
          <w:b/>
          <w:bCs/>
          <w:color w:val="000000" w:themeColor="text1"/>
        </w:rPr>
        <w:t>14</w:t>
      </w:r>
      <w:r w:rsidRPr="00711CC4">
        <w:rPr>
          <w:rFonts w:ascii="Arial" w:hAnsi="Arial" w:cs="Arial"/>
          <w:b/>
          <w:bCs/>
          <w:color w:val="000000" w:themeColor="text1"/>
        </w:rPr>
        <w:t xml:space="preserve">. Análisis de varianza para el grado de severidad de la enfermedad el mildiu en la fase de inicio de </w:t>
      </w:r>
      <w:proofErr w:type="spellStart"/>
      <w:r w:rsidRPr="00711CC4">
        <w:rPr>
          <w:rFonts w:ascii="Arial" w:hAnsi="Arial" w:cs="Arial"/>
          <w:b/>
          <w:bCs/>
          <w:color w:val="000000" w:themeColor="text1"/>
        </w:rPr>
        <w:t>panojamiento</w:t>
      </w:r>
      <w:proofErr w:type="spellEnd"/>
      <w:r w:rsidRPr="00711CC4">
        <w:rPr>
          <w:rFonts w:ascii="Arial" w:hAnsi="Arial" w:cs="Arial"/>
          <w:b/>
          <w:bCs/>
          <w:color w:val="000000" w:themeColor="text1"/>
        </w:rPr>
        <w:t>.</w:t>
      </w:r>
      <w:bookmarkEnd w:id="73"/>
      <w:bookmarkEnd w:id="74"/>
    </w:p>
    <w:tbl>
      <w:tblPr>
        <w:tblW w:w="8342" w:type="dxa"/>
        <w:jc w:val="center"/>
        <w:tblInd w:w="55" w:type="dxa"/>
        <w:tblCellMar>
          <w:left w:w="70" w:type="dxa"/>
          <w:right w:w="70" w:type="dxa"/>
        </w:tblCellMar>
        <w:tblLook w:val="04A0" w:firstRow="1" w:lastRow="0" w:firstColumn="1" w:lastColumn="0" w:noHBand="0" w:noVBand="1"/>
      </w:tblPr>
      <w:tblGrid>
        <w:gridCol w:w="2274"/>
        <w:gridCol w:w="661"/>
        <w:gridCol w:w="1200"/>
        <w:gridCol w:w="1200"/>
        <w:gridCol w:w="1200"/>
        <w:gridCol w:w="1200"/>
        <w:gridCol w:w="607"/>
      </w:tblGrid>
      <w:tr w:rsidR="00B67794" w:rsidRPr="00711CC4" w:rsidTr="00B67794">
        <w:trPr>
          <w:trHeight w:val="587"/>
          <w:jc w:val="center"/>
        </w:trPr>
        <w:tc>
          <w:tcPr>
            <w:tcW w:w="2274" w:type="dxa"/>
            <w:tcBorders>
              <w:top w:val="single" w:sz="8" w:space="0" w:color="auto"/>
              <w:left w:val="single" w:sz="8" w:space="0" w:color="auto"/>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F.V</w:t>
            </w:r>
          </w:p>
        </w:tc>
        <w:tc>
          <w:tcPr>
            <w:tcW w:w="661"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G.L</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S.C</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C.M</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Fc</w:t>
            </w:r>
            <w:proofErr w:type="spellEnd"/>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Ft(0,05)</w:t>
            </w:r>
          </w:p>
        </w:tc>
        <w:tc>
          <w:tcPr>
            <w:tcW w:w="607"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510"/>
          <w:jc w:val="center"/>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2,442</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0,814</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0,299</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0,825</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NS</w:t>
            </w:r>
          </w:p>
        </w:tc>
      </w:tr>
      <w:tr w:rsidR="00B67794" w:rsidRPr="00711CC4" w:rsidTr="00B67794">
        <w:trPr>
          <w:trHeight w:val="315"/>
          <w:jc w:val="center"/>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29,213</w:t>
            </w:r>
          </w:p>
        </w:tc>
        <w:tc>
          <w:tcPr>
            <w:tcW w:w="1200" w:type="dxa"/>
            <w:tcBorders>
              <w:top w:val="nil"/>
              <w:left w:val="nil"/>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9,738</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3,577</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0,06</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15"/>
          <w:jc w:val="center"/>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lastRenderedPageBreak/>
              <w:t>Error Experimental</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24,503</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2,723</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315"/>
          <w:jc w:val="center"/>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56,158</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line="360" w:lineRule="auto"/>
        <w:jc w:val="both"/>
        <w:rPr>
          <w:rFonts w:ascii="Arial" w:hAnsi="Arial" w:cs="Arial"/>
        </w:rPr>
      </w:pPr>
      <w:r w:rsidRPr="00711CC4">
        <w:rPr>
          <w:rFonts w:ascii="Arial" w:hAnsi="Arial" w:cs="Arial"/>
        </w:rPr>
        <w:t xml:space="preserve">FV=Fuente de variación        GL=Grados de libertad     NS= No significativo *= Significativo    </w:t>
      </w:r>
    </w:p>
    <w:p w:rsidR="00B67794" w:rsidRPr="00711CC4" w:rsidRDefault="00B67794" w:rsidP="00032094">
      <w:pPr>
        <w:spacing w:line="360" w:lineRule="auto"/>
        <w:jc w:val="both"/>
        <w:rPr>
          <w:rFonts w:ascii="Arial" w:hAnsi="Arial" w:cs="Arial"/>
        </w:rPr>
      </w:pPr>
      <w:r w:rsidRPr="00711CC4">
        <w:rPr>
          <w:rFonts w:ascii="Arial" w:hAnsi="Arial" w:cs="Arial"/>
        </w:rPr>
        <w:t xml:space="preserve">CV=15,5% </w:t>
      </w:r>
    </w:p>
    <w:p w:rsidR="00B67794" w:rsidRPr="00711CC4" w:rsidRDefault="00B67794" w:rsidP="00FB351E">
      <w:pPr>
        <w:keepNext/>
        <w:spacing w:line="360" w:lineRule="auto"/>
        <w:jc w:val="center"/>
        <w:rPr>
          <w:rFonts w:ascii="Arial" w:hAnsi="Arial" w:cs="Arial"/>
        </w:rPr>
      </w:pPr>
      <w:r w:rsidRPr="00711CC4">
        <w:rPr>
          <w:rFonts w:ascii="Arial" w:hAnsi="Arial" w:cs="Arial"/>
          <w:noProof/>
          <w:color w:val="000000" w:themeColor="text1"/>
          <w:lang w:eastAsia="es-ES"/>
        </w:rPr>
        <w:drawing>
          <wp:inline distT="0" distB="0" distL="0" distR="0" wp14:anchorId="53E3B65C" wp14:editId="61D7C60E">
            <wp:extent cx="5099538" cy="1899139"/>
            <wp:effectExtent l="0" t="0" r="25400" b="2540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67794" w:rsidRPr="00711CC4" w:rsidRDefault="00B67794" w:rsidP="00FB351E">
      <w:pPr>
        <w:spacing w:line="360" w:lineRule="auto"/>
        <w:jc w:val="center"/>
        <w:rPr>
          <w:rFonts w:ascii="Arial" w:hAnsi="Arial" w:cs="Arial"/>
          <w:b/>
          <w:bCs/>
          <w:color w:val="000000" w:themeColor="text1"/>
        </w:rPr>
      </w:pPr>
      <w:bookmarkStart w:id="75" w:name="_Toc64025914"/>
      <w:r w:rsidRPr="00711CC4">
        <w:rPr>
          <w:rFonts w:ascii="Arial" w:hAnsi="Arial" w:cs="Arial"/>
          <w:b/>
          <w:bCs/>
          <w:color w:val="000000" w:themeColor="text1"/>
        </w:rPr>
        <w:t xml:space="preserve">Figura </w:t>
      </w:r>
      <w:r w:rsidR="00FB351E">
        <w:rPr>
          <w:rFonts w:ascii="Arial" w:hAnsi="Arial" w:cs="Arial"/>
          <w:b/>
          <w:bCs/>
          <w:color w:val="000000" w:themeColor="text1"/>
        </w:rPr>
        <w:t>11</w:t>
      </w:r>
      <w:r w:rsidRPr="00711CC4">
        <w:rPr>
          <w:rFonts w:ascii="Arial" w:hAnsi="Arial" w:cs="Arial"/>
          <w:b/>
          <w:bCs/>
          <w:color w:val="000000" w:themeColor="text1"/>
        </w:rPr>
        <w:t xml:space="preserve">. Comparación de medias  para el grado de severidad del mildiu  en fase de inicio de </w:t>
      </w:r>
      <w:proofErr w:type="spellStart"/>
      <w:r w:rsidRPr="00711CC4">
        <w:rPr>
          <w:rFonts w:ascii="Arial" w:hAnsi="Arial" w:cs="Arial"/>
          <w:b/>
          <w:bCs/>
          <w:color w:val="000000" w:themeColor="text1"/>
        </w:rPr>
        <w:t>panojamiento</w:t>
      </w:r>
      <w:proofErr w:type="spellEnd"/>
      <w:r w:rsidRPr="00711CC4">
        <w:rPr>
          <w:rFonts w:ascii="Arial" w:hAnsi="Arial" w:cs="Arial"/>
          <w:b/>
          <w:bCs/>
          <w:color w:val="000000" w:themeColor="text1"/>
        </w:rPr>
        <w:t xml:space="preserve"> de los genotipos de la generación M3 de quinua. (Duncan α=0.05)</w:t>
      </w:r>
      <w:bookmarkEnd w:id="75"/>
    </w:p>
    <w:p w:rsidR="00B67794" w:rsidRPr="00711CC4" w:rsidRDefault="00B67794" w:rsidP="00032094">
      <w:pPr>
        <w:spacing w:line="360" w:lineRule="auto"/>
        <w:jc w:val="both"/>
        <w:rPr>
          <w:rFonts w:ascii="Arial" w:hAnsi="Arial" w:cs="Arial"/>
        </w:rPr>
      </w:pPr>
      <w:r w:rsidRPr="00711CC4">
        <w:rPr>
          <w:rFonts w:ascii="Arial" w:hAnsi="Arial" w:cs="Arial"/>
        </w:rPr>
        <w:t xml:space="preserve">Como se observa en la comparación de medias para el grado de severidad del mildiu en la fase de inicio de </w:t>
      </w:r>
      <w:proofErr w:type="spellStart"/>
      <w:r w:rsidRPr="00711CC4">
        <w:rPr>
          <w:rFonts w:ascii="Arial" w:hAnsi="Arial" w:cs="Arial"/>
        </w:rPr>
        <w:t>panojamiento</w:t>
      </w:r>
      <w:proofErr w:type="spellEnd"/>
      <w:r w:rsidRPr="00711CC4">
        <w:rPr>
          <w:rFonts w:ascii="Arial" w:hAnsi="Arial" w:cs="Arial"/>
        </w:rPr>
        <w:t xml:space="preserve"> (figura </w:t>
      </w:r>
      <w:r w:rsidR="00FB351E">
        <w:rPr>
          <w:rFonts w:ascii="Arial" w:hAnsi="Arial" w:cs="Arial"/>
        </w:rPr>
        <w:t>11</w:t>
      </w:r>
      <w:r w:rsidRPr="00711CC4">
        <w:rPr>
          <w:rFonts w:ascii="Arial" w:hAnsi="Arial" w:cs="Arial"/>
        </w:rPr>
        <w:t xml:space="preserve">) se logra verificar que el testigo  obtuvo mayor  porcentaje de severidad con 4,57%  y con una media similar el T3 con 2,47%  y por último el T1 y T2  con promedio de 1,64%-0,98% demostraron que son estadísticamente similares con un menor porcentaje de severidad. </w:t>
      </w:r>
    </w:p>
    <w:p w:rsidR="00B67794" w:rsidRPr="00711CC4" w:rsidRDefault="00B67794" w:rsidP="00032094">
      <w:pPr>
        <w:spacing w:line="360" w:lineRule="auto"/>
        <w:jc w:val="both"/>
        <w:rPr>
          <w:rFonts w:ascii="Arial" w:hAnsi="Arial" w:cs="Arial"/>
        </w:rPr>
      </w:pPr>
      <w:r w:rsidRPr="00711CC4">
        <w:rPr>
          <w:rFonts w:ascii="Arial" w:hAnsi="Arial" w:cs="Arial"/>
        </w:rPr>
        <w:t xml:space="preserve">La diferencia en promedios  con el (figura 15) en la fase de ramificación fue por las bajas temperaturas que se  presentaron a inicios del mes de diciembre presentando una temperatura mínima de -10,5ºC (figura 5) afectando a la quinua con una helada  severa debido a la disminución de la humedad del ambiente. </w:t>
      </w:r>
    </w:p>
    <w:p w:rsidR="00B67794" w:rsidRPr="00711CC4" w:rsidRDefault="00B67794" w:rsidP="00032094">
      <w:pPr>
        <w:spacing w:line="360" w:lineRule="auto"/>
        <w:jc w:val="both"/>
        <w:rPr>
          <w:rFonts w:ascii="Arial" w:hAnsi="Arial" w:cs="Arial"/>
          <w:b/>
        </w:rPr>
      </w:pPr>
      <w:r w:rsidRPr="00711CC4">
        <w:rPr>
          <w:rFonts w:ascii="Arial" w:hAnsi="Arial" w:cs="Arial"/>
          <w:b/>
        </w:rPr>
        <w:t>d)</w:t>
      </w:r>
      <w:r w:rsidRPr="00711CC4">
        <w:rPr>
          <w:rFonts w:ascii="Arial" w:hAnsi="Arial" w:cs="Arial"/>
          <w:b/>
        </w:rPr>
        <w:tab/>
        <w:t xml:space="preserve">Evaluación del mildiu en la fase  de </w:t>
      </w:r>
      <w:proofErr w:type="spellStart"/>
      <w:r w:rsidRPr="00711CC4">
        <w:rPr>
          <w:rFonts w:ascii="Arial" w:hAnsi="Arial" w:cs="Arial"/>
          <w:b/>
        </w:rPr>
        <w:t>panojamiento</w:t>
      </w:r>
      <w:proofErr w:type="spellEnd"/>
    </w:p>
    <w:p w:rsidR="00B67794" w:rsidRPr="00711CC4" w:rsidRDefault="00176500" w:rsidP="00032094">
      <w:pPr>
        <w:spacing w:line="360" w:lineRule="auto"/>
        <w:jc w:val="both"/>
        <w:rPr>
          <w:rFonts w:ascii="Arial" w:hAnsi="Arial" w:cs="Arial"/>
        </w:rPr>
      </w:pPr>
      <w:r>
        <w:rPr>
          <w:rFonts w:ascii="Arial" w:hAnsi="Arial" w:cs="Arial"/>
        </w:rPr>
        <w:t>En el cuadro 15</w:t>
      </w:r>
      <w:r w:rsidR="00B67794" w:rsidRPr="00711CC4">
        <w:rPr>
          <w:rFonts w:ascii="Arial" w:hAnsi="Arial" w:cs="Arial"/>
        </w:rPr>
        <w:t xml:space="preserve"> se presenta el análisis de varianza en la evaluación del mildiu  en la fase de </w:t>
      </w:r>
      <w:proofErr w:type="spellStart"/>
      <w:r w:rsidR="00B67794" w:rsidRPr="00711CC4">
        <w:rPr>
          <w:rFonts w:ascii="Arial" w:hAnsi="Arial" w:cs="Arial"/>
        </w:rPr>
        <w:t>panojamiento</w:t>
      </w:r>
      <w:proofErr w:type="spellEnd"/>
      <w:r w:rsidR="00B67794" w:rsidRPr="00711CC4">
        <w:rPr>
          <w:rFonts w:ascii="Arial" w:hAnsi="Arial" w:cs="Arial"/>
        </w:rPr>
        <w:t xml:space="preserve"> (98 días después de la siembra), donde se observa que no existen diferencias entre bloques, pero si estadísticamente entre tratamientos.</w:t>
      </w:r>
    </w:p>
    <w:p w:rsidR="00B67794" w:rsidRPr="00711CC4" w:rsidRDefault="00B67794" w:rsidP="00176500">
      <w:pPr>
        <w:keepNext/>
        <w:spacing w:line="360" w:lineRule="auto"/>
        <w:jc w:val="center"/>
        <w:rPr>
          <w:rFonts w:ascii="Arial" w:hAnsi="Arial" w:cs="Arial"/>
          <w:b/>
          <w:bCs/>
          <w:color w:val="000000" w:themeColor="text1"/>
        </w:rPr>
      </w:pPr>
      <w:bookmarkStart w:id="76" w:name="_Toc57032786"/>
      <w:bookmarkStart w:id="77" w:name="_Toc57857665"/>
      <w:r w:rsidRPr="00711CC4">
        <w:rPr>
          <w:rFonts w:ascii="Arial" w:hAnsi="Arial" w:cs="Arial"/>
          <w:b/>
          <w:bCs/>
          <w:color w:val="000000" w:themeColor="text1"/>
        </w:rPr>
        <w:lastRenderedPageBreak/>
        <w:t xml:space="preserve">Cuadro  </w:t>
      </w:r>
      <w:r w:rsidR="00176500">
        <w:rPr>
          <w:rFonts w:ascii="Arial" w:hAnsi="Arial" w:cs="Arial"/>
          <w:b/>
          <w:bCs/>
          <w:color w:val="000000" w:themeColor="text1"/>
        </w:rPr>
        <w:t>15</w:t>
      </w:r>
      <w:r w:rsidRPr="00711CC4">
        <w:rPr>
          <w:rFonts w:ascii="Arial" w:hAnsi="Arial" w:cs="Arial"/>
          <w:b/>
          <w:bCs/>
          <w:color w:val="000000" w:themeColor="text1"/>
        </w:rPr>
        <w:t xml:space="preserve">. Análisis de varianza para el grado de severidad del mildiu en la fase de </w:t>
      </w:r>
      <w:proofErr w:type="spellStart"/>
      <w:r w:rsidRPr="00711CC4">
        <w:rPr>
          <w:rFonts w:ascii="Arial" w:hAnsi="Arial" w:cs="Arial"/>
          <w:b/>
          <w:bCs/>
          <w:color w:val="000000" w:themeColor="text1"/>
        </w:rPr>
        <w:t>panojamiento</w:t>
      </w:r>
      <w:bookmarkEnd w:id="76"/>
      <w:bookmarkEnd w:id="77"/>
      <w:proofErr w:type="spellEnd"/>
    </w:p>
    <w:tbl>
      <w:tblPr>
        <w:tblW w:w="8342" w:type="dxa"/>
        <w:jc w:val="center"/>
        <w:tblInd w:w="55" w:type="dxa"/>
        <w:tblCellMar>
          <w:left w:w="70" w:type="dxa"/>
          <w:right w:w="70" w:type="dxa"/>
        </w:tblCellMar>
        <w:tblLook w:val="04A0" w:firstRow="1" w:lastRow="0" w:firstColumn="1" w:lastColumn="0" w:noHBand="0" w:noVBand="1"/>
      </w:tblPr>
      <w:tblGrid>
        <w:gridCol w:w="2274"/>
        <w:gridCol w:w="661"/>
        <w:gridCol w:w="1200"/>
        <w:gridCol w:w="1200"/>
        <w:gridCol w:w="1200"/>
        <w:gridCol w:w="1200"/>
        <w:gridCol w:w="607"/>
      </w:tblGrid>
      <w:tr w:rsidR="00B67794" w:rsidRPr="00711CC4" w:rsidTr="00B67794">
        <w:trPr>
          <w:trHeight w:val="501"/>
          <w:jc w:val="center"/>
        </w:trPr>
        <w:tc>
          <w:tcPr>
            <w:tcW w:w="2274" w:type="dxa"/>
            <w:tcBorders>
              <w:top w:val="single" w:sz="8" w:space="0" w:color="auto"/>
              <w:left w:val="single" w:sz="8" w:space="0" w:color="auto"/>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F.V</w:t>
            </w:r>
          </w:p>
        </w:tc>
        <w:tc>
          <w:tcPr>
            <w:tcW w:w="661"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G.L</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S.C</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C.M</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Fc</w:t>
            </w:r>
            <w:proofErr w:type="spellEnd"/>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Ft(0,05)</w:t>
            </w:r>
          </w:p>
        </w:tc>
        <w:tc>
          <w:tcPr>
            <w:tcW w:w="607"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510"/>
          <w:jc w:val="center"/>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2,208</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0,736</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0,048</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0,985</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NS</w:t>
            </w:r>
          </w:p>
        </w:tc>
      </w:tr>
      <w:tr w:rsidR="00B67794" w:rsidRPr="00711CC4" w:rsidTr="00B67794">
        <w:trPr>
          <w:trHeight w:val="315"/>
          <w:jc w:val="center"/>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393,303</w:t>
            </w:r>
          </w:p>
        </w:tc>
        <w:tc>
          <w:tcPr>
            <w:tcW w:w="1200" w:type="dxa"/>
            <w:tcBorders>
              <w:top w:val="nil"/>
              <w:left w:val="nil"/>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131,101</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8,578</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0,005</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15"/>
          <w:jc w:val="center"/>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137,551</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15,283</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315"/>
          <w:jc w:val="center"/>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533,062</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line="360" w:lineRule="auto"/>
        <w:jc w:val="both"/>
        <w:rPr>
          <w:rFonts w:ascii="Arial" w:hAnsi="Arial" w:cs="Arial"/>
        </w:rPr>
      </w:pPr>
      <w:r w:rsidRPr="00711CC4">
        <w:rPr>
          <w:rFonts w:ascii="Arial" w:hAnsi="Arial" w:cs="Arial"/>
        </w:rPr>
        <w:t xml:space="preserve"> FV=Fuente de variación      GL=Grados de libertad     NS= No significativo    *=Significativo     </w:t>
      </w:r>
    </w:p>
    <w:p w:rsidR="00B67794" w:rsidRPr="00711CC4" w:rsidRDefault="00B67794" w:rsidP="00032094">
      <w:pPr>
        <w:spacing w:line="360" w:lineRule="auto"/>
        <w:jc w:val="both"/>
        <w:rPr>
          <w:rFonts w:ascii="Arial" w:hAnsi="Arial" w:cs="Arial"/>
        </w:rPr>
      </w:pPr>
      <w:r w:rsidRPr="00711CC4">
        <w:rPr>
          <w:rFonts w:ascii="Arial" w:hAnsi="Arial" w:cs="Arial"/>
        </w:rPr>
        <w:t xml:space="preserve">CV=10,7% </w:t>
      </w:r>
    </w:p>
    <w:p w:rsidR="00B67794" w:rsidRPr="00711CC4" w:rsidRDefault="00B67794" w:rsidP="00FB351E">
      <w:pPr>
        <w:keepNext/>
        <w:spacing w:line="360" w:lineRule="auto"/>
        <w:jc w:val="center"/>
        <w:rPr>
          <w:rFonts w:ascii="Arial" w:hAnsi="Arial" w:cs="Arial"/>
        </w:rPr>
      </w:pPr>
      <w:r w:rsidRPr="00711CC4">
        <w:rPr>
          <w:rFonts w:ascii="Arial" w:hAnsi="Arial" w:cs="Arial"/>
          <w:noProof/>
          <w:lang w:eastAsia="es-ES"/>
        </w:rPr>
        <w:drawing>
          <wp:inline distT="0" distB="0" distL="0" distR="0" wp14:anchorId="60E3A30E" wp14:editId="17F34667">
            <wp:extent cx="5367131" cy="1908313"/>
            <wp:effectExtent l="0" t="0" r="24130" b="1587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7794" w:rsidRPr="00711CC4" w:rsidRDefault="00B67794" w:rsidP="00FB351E">
      <w:pPr>
        <w:spacing w:line="360" w:lineRule="auto"/>
        <w:jc w:val="center"/>
        <w:rPr>
          <w:rFonts w:ascii="Arial" w:hAnsi="Arial" w:cs="Arial"/>
          <w:b/>
          <w:bCs/>
          <w:color w:val="000000" w:themeColor="text1"/>
        </w:rPr>
      </w:pPr>
      <w:bookmarkStart w:id="78" w:name="_Toc64025915"/>
      <w:r w:rsidRPr="00711CC4">
        <w:rPr>
          <w:rFonts w:ascii="Arial" w:hAnsi="Arial" w:cs="Arial"/>
          <w:b/>
          <w:bCs/>
          <w:color w:val="000000" w:themeColor="text1"/>
        </w:rPr>
        <w:t xml:space="preserve">Figura </w:t>
      </w:r>
      <w:r w:rsidR="00FB351E">
        <w:rPr>
          <w:rFonts w:ascii="Arial" w:hAnsi="Arial" w:cs="Arial"/>
          <w:b/>
          <w:bCs/>
          <w:color w:val="000000" w:themeColor="text1"/>
        </w:rPr>
        <w:t>12</w:t>
      </w:r>
      <w:r w:rsidRPr="00711CC4">
        <w:rPr>
          <w:rFonts w:ascii="Arial" w:hAnsi="Arial" w:cs="Arial"/>
          <w:b/>
          <w:bCs/>
          <w:color w:val="000000" w:themeColor="text1"/>
        </w:rPr>
        <w:t xml:space="preserve">. Comparación de medias  para el grado de severidad del mildiu  en fase de  </w:t>
      </w:r>
      <w:proofErr w:type="spellStart"/>
      <w:r w:rsidRPr="00711CC4">
        <w:rPr>
          <w:rFonts w:ascii="Arial" w:hAnsi="Arial" w:cs="Arial"/>
          <w:b/>
          <w:bCs/>
          <w:color w:val="000000" w:themeColor="text1"/>
        </w:rPr>
        <w:t>panojamiento</w:t>
      </w:r>
      <w:proofErr w:type="spellEnd"/>
      <w:r w:rsidRPr="00711CC4">
        <w:rPr>
          <w:rFonts w:ascii="Arial" w:hAnsi="Arial" w:cs="Arial"/>
          <w:b/>
          <w:bCs/>
          <w:color w:val="000000" w:themeColor="text1"/>
        </w:rPr>
        <w:t xml:space="preserve"> de los genotipos de la generación M3 de quinua. (Duncan α=0.05)</w:t>
      </w:r>
      <w:bookmarkEnd w:id="78"/>
    </w:p>
    <w:p w:rsidR="00B67794" w:rsidRPr="00711CC4" w:rsidRDefault="00FB351E" w:rsidP="00032094">
      <w:pPr>
        <w:spacing w:line="360" w:lineRule="auto"/>
        <w:jc w:val="both"/>
        <w:rPr>
          <w:rFonts w:ascii="Arial" w:hAnsi="Arial" w:cs="Arial"/>
        </w:rPr>
      </w:pPr>
      <w:r>
        <w:rPr>
          <w:rFonts w:ascii="Arial" w:hAnsi="Arial" w:cs="Arial"/>
        </w:rPr>
        <w:t>La figura 12</w:t>
      </w:r>
      <w:r w:rsidR="00B67794" w:rsidRPr="00711CC4">
        <w:rPr>
          <w:rFonts w:ascii="Arial" w:hAnsi="Arial" w:cs="Arial"/>
        </w:rPr>
        <w:t xml:space="preserve"> nos presenta los resultados obtenidos  con   la prueba Duncan al 5% de confiabilidad donde el testigo obtuvo mayor grado de severidad  con un promedio de 17.96%, en cambio los tratamientos T1, T2, y T3  resultaron ser  similares con valores promedio  de 7.89%, 7.01% y 5.26% de severidad. </w:t>
      </w:r>
    </w:p>
    <w:p w:rsidR="00B67794" w:rsidRPr="00711CC4" w:rsidRDefault="00B67794" w:rsidP="00032094">
      <w:pPr>
        <w:spacing w:line="360" w:lineRule="auto"/>
        <w:jc w:val="both"/>
        <w:rPr>
          <w:rFonts w:ascii="Arial" w:hAnsi="Arial" w:cs="Arial"/>
        </w:rPr>
      </w:pPr>
      <w:r w:rsidRPr="00711CC4">
        <w:rPr>
          <w:rFonts w:ascii="Arial" w:hAnsi="Arial" w:cs="Arial"/>
        </w:rPr>
        <w:t xml:space="preserve">Con los resultados obtenidos es evidente que para esta fase de </w:t>
      </w:r>
      <w:proofErr w:type="spellStart"/>
      <w:r w:rsidRPr="00711CC4">
        <w:rPr>
          <w:rFonts w:ascii="Arial" w:hAnsi="Arial" w:cs="Arial"/>
        </w:rPr>
        <w:t>panojamiento</w:t>
      </w:r>
      <w:proofErr w:type="spellEnd"/>
      <w:r w:rsidRPr="00711CC4">
        <w:rPr>
          <w:rFonts w:ascii="Arial" w:hAnsi="Arial" w:cs="Arial"/>
        </w:rPr>
        <w:t xml:space="preserve"> evaluada a los  98 días  el tratamiento  T2 (G-10) obtiene menor porcentaje de severidad en términos relativos. </w:t>
      </w:r>
    </w:p>
    <w:p w:rsidR="00B67794" w:rsidRPr="00711CC4" w:rsidRDefault="00B67794" w:rsidP="00032094">
      <w:pPr>
        <w:spacing w:line="360" w:lineRule="auto"/>
        <w:jc w:val="both"/>
        <w:rPr>
          <w:rFonts w:ascii="Arial" w:hAnsi="Arial" w:cs="Arial"/>
        </w:rPr>
      </w:pPr>
      <w:r w:rsidRPr="00711CC4">
        <w:rPr>
          <w:rFonts w:ascii="Arial" w:hAnsi="Arial" w:cs="Arial"/>
        </w:rPr>
        <w:t>e</w:t>
      </w:r>
      <w:r w:rsidRPr="00711CC4">
        <w:rPr>
          <w:rFonts w:ascii="Arial" w:hAnsi="Arial" w:cs="Arial"/>
          <w:b/>
        </w:rPr>
        <w:t>)</w:t>
      </w:r>
      <w:r w:rsidRPr="00711CC4">
        <w:rPr>
          <w:rFonts w:ascii="Arial" w:hAnsi="Arial" w:cs="Arial"/>
          <w:b/>
        </w:rPr>
        <w:tab/>
        <w:t xml:space="preserve">Evaluación del mildiu en fase inicio de floración </w:t>
      </w:r>
    </w:p>
    <w:p w:rsidR="00B67794" w:rsidRPr="00711CC4" w:rsidRDefault="00B67794" w:rsidP="00032094">
      <w:pPr>
        <w:tabs>
          <w:tab w:val="left" w:pos="6946"/>
        </w:tabs>
        <w:spacing w:line="360" w:lineRule="auto"/>
        <w:jc w:val="both"/>
        <w:rPr>
          <w:rFonts w:ascii="Arial" w:hAnsi="Arial" w:cs="Arial"/>
        </w:rPr>
      </w:pPr>
      <w:r w:rsidRPr="00711CC4">
        <w:rPr>
          <w:rFonts w:ascii="Arial" w:hAnsi="Arial" w:cs="Arial"/>
        </w:rPr>
        <w:lastRenderedPageBreak/>
        <w:t>En el siguiente cuadro se muestra el análisis de varianza del grado de severidad del mildiu en la fase de inicio de floración (106 días después  de la siembra) las diferencias observadas entre bloques no son estadísticamente significativas, pero las diferencias observada entre tr</w:t>
      </w:r>
      <w:r w:rsidR="00706C89" w:rsidRPr="00711CC4">
        <w:rPr>
          <w:rFonts w:ascii="Arial" w:hAnsi="Arial" w:cs="Arial"/>
        </w:rPr>
        <w:t xml:space="preserve">atamientos son significativas. </w:t>
      </w:r>
    </w:p>
    <w:p w:rsidR="00B67794" w:rsidRPr="00711CC4" w:rsidRDefault="00B67794" w:rsidP="00176500">
      <w:pPr>
        <w:keepNext/>
        <w:spacing w:line="360" w:lineRule="auto"/>
        <w:jc w:val="center"/>
        <w:rPr>
          <w:rFonts w:ascii="Arial" w:hAnsi="Arial" w:cs="Arial"/>
          <w:b/>
          <w:bCs/>
          <w:color w:val="000000" w:themeColor="text1"/>
        </w:rPr>
      </w:pPr>
      <w:bookmarkStart w:id="79" w:name="_Toc57032787"/>
      <w:bookmarkStart w:id="80" w:name="_Toc57857666"/>
      <w:r w:rsidRPr="00711CC4">
        <w:rPr>
          <w:rFonts w:ascii="Arial" w:hAnsi="Arial" w:cs="Arial"/>
          <w:b/>
          <w:bCs/>
          <w:color w:val="000000" w:themeColor="text1"/>
        </w:rPr>
        <w:t xml:space="preserve">Cuadro  </w:t>
      </w:r>
      <w:r w:rsidR="00176500">
        <w:rPr>
          <w:rFonts w:ascii="Arial" w:hAnsi="Arial" w:cs="Arial"/>
          <w:b/>
          <w:bCs/>
          <w:color w:val="000000" w:themeColor="text1"/>
        </w:rPr>
        <w:t>16</w:t>
      </w:r>
      <w:r w:rsidRPr="00711CC4">
        <w:rPr>
          <w:rFonts w:ascii="Arial" w:hAnsi="Arial" w:cs="Arial"/>
          <w:b/>
          <w:bCs/>
          <w:color w:val="000000" w:themeColor="text1"/>
        </w:rPr>
        <w:t>. Análisis de varianza para el grado de severidad del mildiu en la fase de inicio de floración</w:t>
      </w:r>
      <w:bookmarkEnd w:id="79"/>
      <w:bookmarkEnd w:id="80"/>
    </w:p>
    <w:tbl>
      <w:tblPr>
        <w:tblW w:w="8343" w:type="dxa"/>
        <w:jc w:val="center"/>
        <w:tblInd w:w="55" w:type="dxa"/>
        <w:tblCellMar>
          <w:left w:w="70" w:type="dxa"/>
          <w:right w:w="70" w:type="dxa"/>
        </w:tblCellMar>
        <w:tblLook w:val="04A0" w:firstRow="1" w:lastRow="0" w:firstColumn="1" w:lastColumn="0" w:noHBand="0" w:noVBand="1"/>
      </w:tblPr>
      <w:tblGrid>
        <w:gridCol w:w="2275"/>
        <w:gridCol w:w="661"/>
        <w:gridCol w:w="1200"/>
        <w:gridCol w:w="1200"/>
        <w:gridCol w:w="1200"/>
        <w:gridCol w:w="1200"/>
        <w:gridCol w:w="607"/>
      </w:tblGrid>
      <w:tr w:rsidR="00B67794" w:rsidRPr="00711CC4" w:rsidTr="00B67794">
        <w:trPr>
          <w:trHeight w:val="327"/>
          <w:jc w:val="center"/>
        </w:trPr>
        <w:tc>
          <w:tcPr>
            <w:tcW w:w="2275" w:type="dxa"/>
            <w:tcBorders>
              <w:top w:val="single" w:sz="8" w:space="0" w:color="auto"/>
              <w:left w:val="single" w:sz="8" w:space="0" w:color="auto"/>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F.V</w:t>
            </w:r>
          </w:p>
        </w:tc>
        <w:tc>
          <w:tcPr>
            <w:tcW w:w="661"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G.L</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S.C</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C.M</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Fc</w:t>
            </w:r>
            <w:proofErr w:type="spellEnd"/>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Ft(0,05)</w:t>
            </w:r>
          </w:p>
        </w:tc>
        <w:tc>
          <w:tcPr>
            <w:tcW w:w="607"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403"/>
          <w:jc w:val="center"/>
        </w:trPr>
        <w:tc>
          <w:tcPr>
            <w:tcW w:w="2275"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36,024</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12,008</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0,864</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0,494</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NS</w:t>
            </w:r>
          </w:p>
        </w:tc>
      </w:tr>
      <w:tr w:rsidR="00B67794" w:rsidRPr="00711CC4" w:rsidTr="00B67794">
        <w:trPr>
          <w:trHeight w:val="315"/>
          <w:jc w:val="center"/>
        </w:trPr>
        <w:tc>
          <w:tcPr>
            <w:tcW w:w="2275"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423,202</w:t>
            </w:r>
          </w:p>
        </w:tc>
        <w:tc>
          <w:tcPr>
            <w:tcW w:w="1200" w:type="dxa"/>
            <w:tcBorders>
              <w:top w:val="nil"/>
              <w:left w:val="nil"/>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141,067</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10,15</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0,003</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15"/>
          <w:jc w:val="center"/>
        </w:trPr>
        <w:tc>
          <w:tcPr>
            <w:tcW w:w="2275"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125,081</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13,898</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315"/>
          <w:jc w:val="center"/>
        </w:trPr>
        <w:tc>
          <w:tcPr>
            <w:tcW w:w="2275"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584,307</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line="360" w:lineRule="auto"/>
        <w:jc w:val="both"/>
        <w:rPr>
          <w:rFonts w:ascii="Arial" w:hAnsi="Arial" w:cs="Arial"/>
        </w:rPr>
      </w:pPr>
      <w:r w:rsidRPr="00711CC4">
        <w:rPr>
          <w:rFonts w:ascii="Arial" w:hAnsi="Arial" w:cs="Arial"/>
        </w:rPr>
        <w:t xml:space="preserve">FV=Fuente de variación        GL=Grados de libertad     NS= No significativo  *= Significativo    </w:t>
      </w:r>
    </w:p>
    <w:p w:rsidR="00B67794" w:rsidRPr="00711CC4" w:rsidRDefault="00B67794" w:rsidP="00032094">
      <w:pPr>
        <w:spacing w:line="360" w:lineRule="auto"/>
        <w:jc w:val="both"/>
        <w:rPr>
          <w:rFonts w:ascii="Arial" w:hAnsi="Arial" w:cs="Arial"/>
        </w:rPr>
      </w:pPr>
      <w:r w:rsidRPr="00711CC4">
        <w:rPr>
          <w:rFonts w:ascii="Arial" w:hAnsi="Arial" w:cs="Arial"/>
        </w:rPr>
        <w:t xml:space="preserve">CV=15,9% </w:t>
      </w:r>
    </w:p>
    <w:p w:rsidR="00B67794" w:rsidRPr="00711CC4" w:rsidRDefault="00B67794" w:rsidP="00FB351E">
      <w:pPr>
        <w:keepNext/>
        <w:spacing w:line="360" w:lineRule="auto"/>
        <w:jc w:val="center"/>
        <w:rPr>
          <w:rFonts w:ascii="Arial" w:hAnsi="Arial" w:cs="Arial"/>
        </w:rPr>
      </w:pPr>
      <w:r w:rsidRPr="00711CC4">
        <w:rPr>
          <w:rFonts w:ascii="Arial" w:hAnsi="Arial" w:cs="Arial"/>
          <w:noProof/>
          <w:lang w:eastAsia="es-ES"/>
        </w:rPr>
        <w:drawing>
          <wp:inline distT="0" distB="0" distL="0" distR="0" wp14:anchorId="0FAD66E4" wp14:editId="0A50E304">
            <wp:extent cx="5200650" cy="1743075"/>
            <wp:effectExtent l="0" t="0" r="19050"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7794" w:rsidRPr="00711CC4" w:rsidRDefault="00B67794" w:rsidP="00FB351E">
      <w:pPr>
        <w:spacing w:line="360" w:lineRule="auto"/>
        <w:jc w:val="center"/>
        <w:rPr>
          <w:rFonts w:ascii="Arial" w:hAnsi="Arial" w:cs="Arial"/>
          <w:b/>
          <w:bCs/>
          <w:color w:val="000000" w:themeColor="text1"/>
        </w:rPr>
      </w:pPr>
      <w:bookmarkStart w:id="81" w:name="_Toc64025916"/>
      <w:r w:rsidRPr="00711CC4">
        <w:rPr>
          <w:rFonts w:ascii="Arial" w:hAnsi="Arial" w:cs="Arial"/>
          <w:b/>
          <w:bCs/>
          <w:color w:val="000000" w:themeColor="text1"/>
        </w:rPr>
        <w:t>Figura</w:t>
      </w:r>
      <w:r w:rsidR="00FB351E">
        <w:rPr>
          <w:rFonts w:ascii="Arial" w:hAnsi="Arial" w:cs="Arial"/>
          <w:b/>
          <w:bCs/>
          <w:color w:val="000000" w:themeColor="text1"/>
        </w:rPr>
        <w:t xml:space="preserve"> 13</w:t>
      </w:r>
      <w:r w:rsidRPr="00711CC4">
        <w:rPr>
          <w:rFonts w:ascii="Arial" w:hAnsi="Arial" w:cs="Arial"/>
          <w:b/>
          <w:bCs/>
          <w:color w:val="000000" w:themeColor="text1"/>
        </w:rPr>
        <w:t>. Comparación de medias  para el grado de severidad del mildiu  en fase de inicio de floración de los genotipos de la generación M3 de quinua. (Duncan α=0.05)</w:t>
      </w:r>
      <w:bookmarkEnd w:id="81"/>
    </w:p>
    <w:p w:rsidR="00B67794" w:rsidRPr="00711CC4" w:rsidRDefault="00B67794" w:rsidP="00032094">
      <w:pPr>
        <w:spacing w:line="360" w:lineRule="auto"/>
        <w:jc w:val="both"/>
        <w:rPr>
          <w:rFonts w:ascii="Arial" w:hAnsi="Arial" w:cs="Arial"/>
        </w:rPr>
      </w:pPr>
      <w:r w:rsidRPr="00711CC4">
        <w:rPr>
          <w:rFonts w:ascii="Arial" w:hAnsi="Arial" w:cs="Arial"/>
        </w:rPr>
        <w:t xml:space="preserve">En la </w:t>
      </w:r>
      <w:r w:rsidR="00FB351E">
        <w:rPr>
          <w:rFonts w:ascii="Arial" w:hAnsi="Arial" w:cs="Arial"/>
        </w:rPr>
        <w:t>figura 13</w:t>
      </w:r>
      <w:r w:rsidRPr="00711CC4">
        <w:rPr>
          <w:rFonts w:ascii="Arial" w:hAnsi="Arial" w:cs="Arial"/>
        </w:rPr>
        <w:t xml:space="preserve"> se muestra  el grado de severidad  del mildiu  para la fase de inicio de floración, se ve claramente que el mildiu tiene un incremento mayor en el testigo a diferencia de los genotipos que obtienen medias inferiores y similares, siendo  el tratamiento T2 (G-10) con </w:t>
      </w:r>
      <w:r w:rsidR="00032094" w:rsidRPr="00711CC4">
        <w:rPr>
          <w:rFonts w:ascii="Arial" w:hAnsi="Arial" w:cs="Arial"/>
        </w:rPr>
        <w:t>un promedio menor de  (11,40%).</w:t>
      </w:r>
    </w:p>
    <w:p w:rsidR="00B67794" w:rsidRPr="00711CC4" w:rsidRDefault="00B67794" w:rsidP="00032094">
      <w:pPr>
        <w:spacing w:line="360" w:lineRule="auto"/>
        <w:jc w:val="both"/>
        <w:rPr>
          <w:rFonts w:ascii="Arial" w:hAnsi="Arial" w:cs="Arial"/>
          <w:b/>
        </w:rPr>
      </w:pPr>
      <w:r w:rsidRPr="00711CC4">
        <w:rPr>
          <w:rFonts w:ascii="Arial" w:hAnsi="Arial" w:cs="Arial"/>
          <w:b/>
        </w:rPr>
        <w:lastRenderedPageBreak/>
        <w:t>f)</w:t>
      </w:r>
      <w:r w:rsidRPr="00711CC4">
        <w:rPr>
          <w:rFonts w:ascii="Arial" w:hAnsi="Arial" w:cs="Arial"/>
          <w:b/>
        </w:rPr>
        <w:tab/>
        <w:t>Evaluación del mildiu en la fase de floración</w:t>
      </w:r>
    </w:p>
    <w:p w:rsidR="00B67794" w:rsidRPr="00711CC4" w:rsidRDefault="00176500" w:rsidP="00032094">
      <w:pPr>
        <w:spacing w:line="360" w:lineRule="auto"/>
        <w:jc w:val="both"/>
        <w:rPr>
          <w:rFonts w:ascii="Arial" w:hAnsi="Arial" w:cs="Arial"/>
        </w:rPr>
      </w:pPr>
      <w:r>
        <w:rPr>
          <w:rFonts w:ascii="Arial" w:hAnsi="Arial" w:cs="Arial"/>
        </w:rPr>
        <w:t>En el  siguiente cuadro 17</w:t>
      </w:r>
      <w:r w:rsidR="00B67794" w:rsidRPr="00711CC4">
        <w:rPr>
          <w:rFonts w:ascii="Arial" w:hAnsi="Arial" w:cs="Arial"/>
        </w:rPr>
        <w:t xml:space="preserve"> observamos el análisis de varianza para el grado de severidad del mildiu en la fase de floración (114 días después de la siembra) indicando que no existe diferencias  significativas entre bloques pero las diferencias son estadísticamente significativas entre los tratamientos.</w:t>
      </w:r>
    </w:p>
    <w:p w:rsidR="00B67794" w:rsidRPr="00711CC4" w:rsidRDefault="00B67794" w:rsidP="00176500">
      <w:pPr>
        <w:keepNext/>
        <w:spacing w:line="360" w:lineRule="auto"/>
        <w:jc w:val="center"/>
        <w:rPr>
          <w:rFonts w:ascii="Arial" w:hAnsi="Arial" w:cs="Arial"/>
          <w:b/>
          <w:bCs/>
          <w:color w:val="000000" w:themeColor="text1"/>
        </w:rPr>
      </w:pPr>
      <w:bookmarkStart w:id="82" w:name="_Toc57032788"/>
      <w:bookmarkStart w:id="83" w:name="_Toc57857667"/>
      <w:r w:rsidRPr="00711CC4">
        <w:rPr>
          <w:rFonts w:ascii="Arial" w:hAnsi="Arial" w:cs="Arial"/>
          <w:b/>
          <w:bCs/>
          <w:color w:val="000000" w:themeColor="text1"/>
        </w:rPr>
        <w:t xml:space="preserve">Cuadro  </w:t>
      </w:r>
      <w:r w:rsidR="00176500">
        <w:rPr>
          <w:rFonts w:ascii="Arial" w:hAnsi="Arial" w:cs="Arial"/>
          <w:b/>
          <w:bCs/>
          <w:color w:val="000000" w:themeColor="text1"/>
        </w:rPr>
        <w:t>17</w:t>
      </w:r>
      <w:r w:rsidRPr="00711CC4">
        <w:rPr>
          <w:rFonts w:ascii="Arial" w:hAnsi="Arial" w:cs="Arial"/>
          <w:b/>
          <w:bCs/>
          <w:color w:val="000000" w:themeColor="text1"/>
        </w:rPr>
        <w:t>. Análisis de varianza para el grado de severidad del mildiu en la fase  de floración</w:t>
      </w:r>
      <w:bookmarkEnd w:id="82"/>
      <w:bookmarkEnd w:id="83"/>
    </w:p>
    <w:tbl>
      <w:tblPr>
        <w:tblW w:w="8342" w:type="dxa"/>
        <w:tblInd w:w="55" w:type="dxa"/>
        <w:tblCellMar>
          <w:left w:w="70" w:type="dxa"/>
          <w:right w:w="70" w:type="dxa"/>
        </w:tblCellMar>
        <w:tblLook w:val="04A0" w:firstRow="1" w:lastRow="0" w:firstColumn="1" w:lastColumn="0" w:noHBand="0" w:noVBand="1"/>
      </w:tblPr>
      <w:tblGrid>
        <w:gridCol w:w="2274"/>
        <w:gridCol w:w="661"/>
        <w:gridCol w:w="1200"/>
        <w:gridCol w:w="1200"/>
        <w:gridCol w:w="1200"/>
        <w:gridCol w:w="1200"/>
        <w:gridCol w:w="607"/>
      </w:tblGrid>
      <w:tr w:rsidR="00B67794" w:rsidRPr="00711CC4" w:rsidTr="00B67794">
        <w:trPr>
          <w:trHeight w:val="513"/>
        </w:trPr>
        <w:tc>
          <w:tcPr>
            <w:tcW w:w="2274" w:type="dxa"/>
            <w:tcBorders>
              <w:top w:val="single" w:sz="8" w:space="0" w:color="auto"/>
              <w:left w:val="single" w:sz="8" w:space="0" w:color="auto"/>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F.V</w:t>
            </w:r>
          </w:p>
        </w:tc>
        <w:tc>
          <w:tcPr>
            <w:tcW w:w="661"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G.L</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S.C</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C.M</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Fc</w:t>
            </w:r>
            <w:proofErr w:type="spellEnd"/>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Ft(0,05)</w:t>
            </w:r>
          </w:p>
        </w:tc>
        <w:tc>
          <w:tcPr>
            <w:tcW w:w="607"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510"/>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26,847</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8,949</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0,454</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0,721</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NS</w:t>
            </w:r>
          </w:p>
        </w:tc>
      </w:tr>
      <w:tr w:rsidR="00B67794" w:rsidRPr="00711CC4" w:rsidTr="00B67794">
        <w:trPr>
          <w:trHeight w:val="315"/>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347,867</w:t>
            </w:r>
          </w:p>
        </w:tc>
        <w:tc>
          <w:tcPr>
            <w:tcW w:w="1200" w:type="dxa"/>
            <w:tcBorders>
              <w:top w:val="nil"/>
              <w:left w:val="nil"/>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115,956</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5,881</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0,017</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15"/>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177,457</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19,717</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315"/>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552,171</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line="360" w:lineRule="auto"/>
        <w:jc w:val="both"/>
        <w:rPr>
          <w:rFonts w:ascii="Arial" w:hAnsi="Arial" w:cs="Arial"/>
        </w:rPr>
      </w:pPr>
      <w:r w:rsidRPr="00711CC4">
        <w:rPr>
          <w:rFonts w:ascii="Arial" w:hAnsi="Arial" w:cs="Arial"/>
        </w:rPr>
        <w:t xml:space="preserve">FV=Fuente de variación        GL=Grados de libertad     NS= No significativo *= Significativo    </w:t>
      </w:r>
    </w:p>
    <w:p w:rsidR="00B67794" w:rsidRPr="00711CC4" w:rsidRDefault="00B67794" w:rsidP="00032094">
      <w:pPr>
        <w:spacing w:line="360" w:lineRule="auto"/>
        <w:jc w:val="both"/>
        <w:rPr>
          <w:rFonts w:ascii="Arial" w:hAnsi="Arial" w:cs="Arial"/>
        </w:rPr>
      </w:pPr>
      <w:r w:rsidRPr="00711CC4">
        <w:rPr>
          <w:rFonts w:ascii="Arial" w:hAnsi="Arial" w:cs="Arial"/>
        </w:rPr>
        <w:t>El coeficiente de variación del 19,20%  es relativamente alto pero inferior al 30% por lo tanto los datos son confiables y hubo un buen manejo de las unidades experimentales.</w:t>
      </w:r>
    </w:p>
    <w:p w:rsidR="00B67794" w:rsidRPr="00711CC4" w:rsidRDefault="00B67794" w:rsidP="00032094">
      <w:pPr>
        <w:keepNext/>
        <w:spacing w:line="360" w:lineRule="auto"/>
        <w:jc w:val="both"/>
        <w:rPr>
          <w:rFonts w:ascii="Arial" w:hAnsi="Arial" w:cs="Arial"/>
        </w:rPr>
      </w:pPr>
      <w:r w:rsidRPr="00711CC4">
        <w:rPr>
          <w:rFonts w:ascii="Arial" w:hAnsi="Arial" w:cs="Arial"/>
          <w:noProof/>
          <w:lang w:eastAsia="es-ES"/>
        </w:rPr>
        <w:drawing>
          <wp:inline distT="0" distB="0" distL="0" distR="0" wp14:anchorId="5C21CE0B" wp14:editId="17EA61AD">
            <wp:extent cx="5400675" cy="1857375"/>
            <wp:effectExtent l="0" t="0" r="952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7794" w:rsidRPr="00711CC4" w:rsidRDefault="00B67794" w:rsidP="00032094">
      <w:pPr>
        <w:spacing w:line="360" w:lineRule="auto"/>
        <w:jc w:val="both"/>
        <w:rPr>
          <w:rFonts w:ascii="Arial" w:hAnsi="Arial" w:cs="Arial"/>
          <w:b/>
          <w:bCs/>
          <w:color w:val="000000" w:themeColor="text1"/>
        </w:rPr>
      </w:pPr>
      <w:bookmarkStart w:id="84" w:name="_Toc64025917"/>
      <w:r w:rsidRPr="00711CC4">
        <w:rPr>
          <w:rFonts w:ascii="Arial" w:hAnsi="Arial" w:cs="Arial"/>
          <w:b/>
          <w:bCs/>
          <w:color w:val="000000" w:themeColor="text1"/>
        </w:rPr>
        <w:t>Figura</w:t>
      </w:r>
      <w:r w:rsidR="00077A07">
        <w:rPr>
          <w:rFonts w:ascii="Arial" w:hAnsi="Arial" w:cs="Arial"/>
          <w:b/>
          <w:bCs/>
          <w:color w:val="000000" w:themeColor="text1"/>
        </w:rPr>
        <w:t xml:space="preserve"> 14</w:t>
      </w:r>
      <w:r w:rsidRPr="00711CC4">
        <w:rPr>
          <w:rFonts w:ascii="Arial" w:hAnsi="Arial" w:cs="Arial"/>
          <w:b/>
          <w:bCs/>
          <w:color w:val="000000" w:themeColor="text1"/>
        </w:rPr>
        <w:t>. Comparación de medias  para el grado de severidad del mildiu  en fase de floración de los genotipos de la generación M3 de quinua. (Duncan α=0.05)</w:t>
      </w:r>
      <w:bookmarkEnd w:id="84"/>
    </w:p>
    <w:p w:rsidR="00B67794" w:rsidRPr="00711CC4" w:rsidRDefault="00077A07" w:rsidP="00032094">
      <w:pPr>
        <w:spacing w:line="360" w:lineRule="auto"/>
        <w:jc w:val="both"/>
        <w:rPr>
          <w:rFonts w:ascii="Arial" w:hAnsi="Arial" w:cs="Arial"/>
        </w:rPr>
      </w:pPr>
      <w:r>
        <w:rPr>
          <w:rFonts w:ascii="Arial" w:hAnsi="Arial" w:cs="Arial"/>
        </w:rPr>
        <w:t>En la figura 14</w:t>
      </w:r>
      <w:r w:rsidR="00B67794" w:rsidRPr="00711CC4">
        <w:rPr>
          <w:rFonts w:ascii="Arial" w:hAnsi="Arial" w:cs="Arial"/>
        </w:rPr>
        <w:t xml:space="preserve"> la comparación de medias para el grado de severidad del mildiu en la fase de floración se observa que el mildiu tuvo un incremento mayor en el Testigo, </w:t>
      </w:r>
      <w:r w:rsidR="00B67794" w:rsidRPr="00711CC4">
        <w:rPr>
          <w:rFonts w:ascii="Arial" w:hAnsi="Arial" w:cs="Arial"/>
        </w:rPr>
        <w:lastRenderedPageBreak/>
        <w:t>siendo  estadísticamente diferente a los genotipos T1,  T2 y T3,  pero aún se observa que  T2 (G-10) obtiene un menor promedio de severidad (19.39%).</w:t>
      </w:r>
    </w:p>
    <w:p w:rsidR="00B67794" w:rsidRPr="00711CC4" w:rsidRDefault="00B67794" w:rsidP="00032094">
      <w:pPr>
        <w:spacing w:line="360" w:lineRule="auto"/>
        <w:jc w:val="both"/>
        <w:rPr>
          <w:rFonts w:ascii="Arial" w:hAnsi="Arial" w:cs="Arial"/>
          <w:b/>
        </w:rPr>
      </w:pPr>
      <w:r w:rsidRPr="00711CC4">
        <w:rPr>
          <w:rFonts w:ascii="Arial" w:hAnsi="Arial" w:cs="Arial"/>
          <w:b/>
        </w:rPr>
        <w:t>g)</w:t>
      </w:r>
      <w:r w:rsidRPr="00711CC4">
        <w:rPr>
          <w:rFonts w:ascii="Arial" w:hAnsi="Arial" w:cs="Arial"/>
          <w:b/>
        </w:rPr>
        <w:tab/>
        <w:t xml:space="preserve">Evaluación del mildiu  en la fase de formación de grano  </w:t>
      </w:r>
      <w:proofErr w:type="spellStart"/>
      <w:r w:rsidRPr="00711CC4">
        <w:rPr>
          <w:rFonts w:ascii="Arial" w:hAnsi="Arial" w:cs="Arial"/>
          <w:b/>
        </w:rPr>
        <w:t>masoso</w:t>
      </w:r>
      <w:proofErr w:type="spellEnd"/>
    </w:p>
    <w:p w:rsidR="00B67794" w:rsidRPr="00711CC4" w:rsidRDefault="00176500" w:rsidP="00032094">
      <w:pPr>
        <w:spacing w:line="360" w:lineRule="auto"/>
        <w:jc w:val="both"/>
        <w:rPr>
          <w:rFonts w:ascii="Arial" w:hAnsi="Arial" w:cs="Arial"/>
        </w:rPr>
      </w:pPr>
      <w:r>
        <w:rPr>
          <w:rFonts w:ascii="Arial" w:hAnsi="Arial" w:cs="Arial"/>
        </w:rPr>
        <w:t>En el cuadro 18</w:t>
      </w:r>
      <w:r w:rsidR="00B67794" w:rsidRPr="00711CC4">
        <w:rPr>
          <w:rFonts w:ascii="Arial" w:hAnsi="Arial" w:cs="Arial"/>
        </w:rPr>
        <w:t xml:space="preserve"> se presenta los resultados  del análisis de varianza para el grado de severidad del mildiu en la fase de formación de grano (123 días después de la siembra),  donde se observa que para bloques las diferencias registradas no son significativas a nivel estadístico, pero las diferencias entre tratamientos son estadísticamente </w:t>
      </w:r>
      <w:r w:rsidRPr="00711CC4">
        <w:rPr>
          <w:rFonts w:ascii="Arial" w:hAnsi="Arial" w:cs="Arial"/>
        </w:rPr>
        <w:t>significativas</w:t>
      </w:r>
      <w:r w:rsidR="00B67794" w:rsidRPr="00711CC4">
        <w:rPr>
          <w:rFonts w:ascii="Arial" w:hAnsi="Arial" w:cs="Arial"/>
        </w:rPr>
        <w:t xml:space="preserve">. </w:t>
      </w:r>
    </w:p>
    <w:p w:rsidR="00B67794" w:rsidRPr="00711CC4" w:rsidRDefault="00B67794" w:rsidP="00176500">
      <w:pPr>
        <w:keepNext/>
        <w:spacing w:line="360" w:lineRule="auto"/>
        <w:jc w:val="center"/>
        <w:rPr>
          <w:rFonts w:ascii="Arial" w:hAnsi="Arial" w:cs="Arial"/>
          <w:b/>
          <w:bCs/>
          <w:color w:val="000000" w:themeColor="text1"/>
        </w:rPr>
      </w:pPr>
      <w:bookmarkStart w:id="85" w:name="_Toc57032789"/>
      <w:bookmarkStart w:id="86" w:name="_Toc57857668"/>
      <w:r w:rsidRPr="00711CC4">
        <w:rPr>
          <w:rFonts w:ascii="Arial" w:hAnsi="Arial" w:cs="Arial"/>
          <w:b/>
          <w:bCs/>
          <w:color w:val="000000" w:themeColor="text1"/>
        </w:rPr>
        <w:t xml:space="preserve">Cuadro  </w:t>
      </w:r>
      <w:r w:rsidR="00176500">
        <w:rPr>
          <w:rFonts w:ascii="Arial" w:hAnsi="Arial" w:cs="Arial"/>
          <w:b/>
          <w:bCs/>
          <w:color w:val="000000" w:themeColor="text1"/>
        </w:rPr>
        <w:t>18</w:t>
      </w:r>
      <w:r w:rsidRPr="00711CC4">
        <w:rPr>
          <w:rFonts w:ascii="Arial" w:hAnsi="Arial" w:cs="Arial"/>
          <w:b/>
          <w:bCs/>
          <w:color w:val="000000" w:themeColor="text1"/>
        </w:rPr>
        <w:t>. Análisis de varianza para el grado de severidad en la fase de formación de grano</w:t>
      </w:r>
      <w:bookmarkEnd w:id="85"/>
      <w:bookmarkEnd w:id="86"/>
    </w:p>
    <w:tbl>
      <w:tblPr>
        <w:tblW w:w="8342" w:type="dxa"/>
        <w:tblInd w:w="55" w:type="dxa"/>
        <w:tblCellMar>
          <w:left w:w="70" w:type="dxa"/>
          <w:right w:w="70" w:type="dxa"/>
        </w:tblCellMar>
        <w:tblLook w:val="04A0" w:firstRow="1" w:lastRow="0" w:firstColumn="1" w:lastColumn="0" w:noHBand="0" w:noVBand="1"/>
      </w:tblPr>
      <w:tblGrid>
        <w:gridCol w:w="2274"/>
        <w:gridCol w:w="661"/>
        <w:gridCol w:w="1200"/>
        <w:gridCol w:w="1200"/>
        <w:gridCol w:w="1200"/>
        <w:gridCol w:w="1200"/>
        <w:gridCol w:w="607"/>
      </w:tblGrid>
      <w:tr w:rsidR="00B67794" w:rsidRPr="00711CC4" w:rsidTr="00B67794">
        <w:trPr>
          <w:trHeight w:val="546"/>
        </w:trPr>
        <w:tc>
          <w:tcPr>
            <w:tcW w:w="2274" w:type="dxa"/>
            <w:tcBorders>
              <w:top w:val="single" w:sz="8" w:space="0" w:color="auto"/>
              <w:left w:val="single" w:sz="8" w:space="0" w:color="auto"/>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F.V</w:t>
            </w:r>
          </w:p>
        </w:tc>
        <w:tc>
          <w:tcPr>
            <w:tcW w:w="661"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G.L</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S.C</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C.M</w:t>
            </w:r>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proofErr w:type="spellStart"/>
            <w:r w:rsidRPr="00711CC4">
              <w:rPr>
                <w:rFonts w:ascii="Arial" w:eastAsia="Times New Roman" w:hAnsi="Arial" w:cs="Arial"/>
                <w:color w:val="000000"/>
                <w:lang w:eastAsia="es-ES"/>
              </w:rPr>
              <w:t>Fc</w:t>
            </w:r>
            <w:proofErr w:type="spellEnd"/>
          </w:p>
        </w:tc>
        <w:tc>
          <w:tcPr>
            <w:tcW w:w="1200"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Ft(0,05)</w:t>
            </w:r>
          </w:p>
        </w:tc>
        <w:tc>
          <w:tcPr>
            <w:tcW w:w="607" w:type="dxa"/>
            <w:tcBorders>
              <w:top w:val="single" w:sz="8" w:space="0" w:color="auto"/>
              <w:left w:val="nil"/>
              <w:bottom w:val="single" w:sz="8" w:space="0" w:color="auto"/>
              <w:right w:val="single" w:sz="8" w:space="0" w:color="auto"/>
            </w:tcBorders>
            <w:shd w:val="clear" w:color="000000" w:fill="92CDDC"/>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510"/>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Bloques</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36,38</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12,127</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0,547</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0,662</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NS</w:t>
            </w:r>
          </w:p>
        </w:tc>
      </w:tr>
      <w:tr w:rsidR="00B67794" w:rsidRPr="00711CC4" w:rsidTr="00B67794">
        <w:trPr>
          <w:trHeight w:val="315"/>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Tratamientos</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3</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400,972</w:t>
            </w:r>
          </w:p>
        </w:tc>
        <w:tc>
          <w:tcPr>
            <w:tcW w:w="1200" w:type="dxa"/>
            <w:tcBorders>
              <w:top w:val="nil"/>
              <w:left w:val="nil"/>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133,657</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6,029</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0,015</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w:t>
            </w:r>
          </w:p>
        </w:tc>
      </w:tr>
      <w:tr w:rsidR="00B67794" w:rsidRPr="00711CC4" w:rsidTr="00B67794">
        <w:trPr>
          <w:trHeight w:val="315"/>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Error Experimental</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9</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199,516</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22,168</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r w:rsidR="00B67794" w:rsidRPr="00711CC4" w:rsidTr="00B67794">
        <w:trPr>
          <w:trHeight w:val="315"/>
        </w:trPr>
        <w:tc>
          <w:tcPr>
            <w:tcW w:w="2274" w:type="dxa"/>
            <w:tcBorders>
              <w:top w:val="nil"/>
              <w:left w:val="single" w:sz="8" w:space="0" w:color="auto"/>
              <w:bottom w:val="single" w:sz="8" w:space="0" w:color="auto"/>
              <w:right w:val="single" w:sz="8" w:space="0" w:color="auto"/>
            </w:tcBorders>
            <w:shd w:val="clear" w:color="000000" w:fill="FFFFFF"/>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Total</w:t>
            </w:r>
          </w:p>
        </w:tc>
        <w:tc>
          <w:tcPr>
            <w:tcW w:w="661"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15</w:t>
            </w:r>
          </w:p>
        </w:tc>
        <w:tc>
          <w:tcPr>
            <w:tcW w:w="1200"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636,869</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1200" w:type="dxa"/>
            <w:tcBorders>
              <w:top w:val="nil"/>
              <w:left w:val="nil"/>
              <w:bottom w:val="single" w:sz="8" w:space="0" w:color="auto"/>
              <w:right w:val="single" w:sz="8" w:space="0" w:color="auto"/>
            </w:tcBorders>
            <w:shd w:val="clear" w:color="000000" w:fill="D9D9D9"/>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c>
          <w:tcPr>
            <w:tcW w:w="607" w:type="dxa"/>
            <w:tcBorders>
              <w:top w:val="nil"/>
              <w:left w:val="nil"/>
              <w:bottom w:val="single" w:sz="8" w:space="0" w:color="auto"/>
              <w:right w:val="single" w:sz="8" w:space="0" w:color="auto"/>
            </w:tcBorders>
            <w:shd w:val="clear" w:color="auto" w:fill="auto"/>
            <w:noWrap/>
            <w:vAlign w:val="center"/>
            <w:hideMark/>
          </w:tcPr>
          <w:p w:rsidR="00B67794" w:rsidRPr="00711CC4" w:rsidRDefault="00B67794" w:rsidP="00032094">
            <w:pPr>
              <w:spacing w:after="0" w:line="360" w:lineRule="auto"/>
              <w:jc w:val="both"/>
              <w:rPr>
                <w:rFonts w:ascii="Arial" w:eastAsia="Times New Roman" w:hAnsi="Arial" w:cs="Arial"/>
                <w:color w:val="000000"/>
                <w:lang w:eastAsia="es-ES"/>
              </w:rPr>
            </w:pPr>
            <w:r w:rsidRPr="00711CC4">
              <w:rPr>
                <w:rFonts w:ascii="Arial" w:eastAsia="Times New Roman" w:hAnsi="Arial" w:cs="Arial"/>
                <w:color w:val="000000"/>
                <w:lang w:eastAsia="es-ES"/>
              </w:rPr>
              <w:t> </w:t>
            </w:r>
          </w:p>
        </w:tc>
      </w:tr>
    </w:tbl>
    <w:p w:rsidR="00B67794" w:rsidRPr="00711CC4" w:rsidRDefault="00B67794" w:rsidP="00032094">
      <w:pPr>
        <w:spacing w:line="360" w:lineRule="auto"/>
        <w:jc w:val="both"/>
        <w:rPr>
          <w:rFonts w:ascii="Arial" w:hAnsi="Arial" w:cs="Arial"/>
        </w:rPr>
      </w:pPr>
      <w:r w:rsidRPr="00711CC4">
        <w:rPr>
          <w:rFonts w:ascii="Arial" w:hAnsi="Arial" w:cs="Arial"/>
        </w:rPr>
        <w:t xml:space="preserve">FV=Fuente de variación        GL=Grados de libertad     NS= No significativo  *= Significativo  </w:t>
      </w:r>
      <w:r w:rsidRPr="00711CC4">
        <w:rPr>
          <w:rFonts w:ascii="Arial" w:hAnsi="Arial" w:cs="Arial"/>
        </w:rPr>
        <w:tab/>
        <w:t xml:space="preserve"> </w:t>
      </w:r>
    </w:p>
    <w:p w:rsidR="00B67794" w:rsidRPr="00711CC4" w:rsidRDefault="00B67794" w:rsidP="00032094">
      <w:pPr>
        <w:spacing w:line="360" w:lineRule="auto"/>
        <w:jc w:val="both"/>
        <w:rPr>
          <w:rFonts w:ascii="Arial" w:hAnsi="Arial" w:cs="Arial"/>
        </w:rPr>
      </w:pPr>
      <w:r w:rsidRPr="00711CC4">
        <w:rPr>
          <w:rFonts w:ascii="Arial" w:hAnsi="Arial" w:cs="Arial"/>
        </w:rPr>
        <w:t>CV= 17,01%.</w:t>
      </w:r>
    </w:p>
    <w:p w:rsidR="00B67794" w:rsidRPr="00711CC4" w:rsidRDefault="00B67794" w:rsidP="00077A07">
      <w:pPr>
        <w:keepNext/>
        <w:spacing w:line="360" w:lineRule="auto"/>
        <w:jc w:val="center"/>
        <w:rPr>
          <w:rFonts w:ascii="Arial" w:hAnsi="Arial" w:cs="Arial"/>
        </w:rPr>
      </w:pPr>
      <w:r w:rsidRPr="00711CC4">
        <w:rPr>
          <w:rFonts w:ascii="Arial" w:hAnsi="Arial" w:cs="Arial"/>
          <w:noProof/>
          <w:color w:val="000000" w:themeColor="text1"/>
          <w:lang w:eastAsia="es-ES"/>
        </w:rPr>
        <w:drawing>
          <wp:inline distT="0" distB="0" distL="0" distR="0" wp14:anchorId="15B1EFFC" wp14:editId="66504A9F">
            <wp:extent cx="4972050" cy="1857375"/>
            <wp:effectExtent l="0" t="0" r="1905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67794" w:rsidRPr="00711CC4" w:rsidRDefault="00B67794" w:rsidP="00077A07">
      <w:pPr>
        <w:spacing w:line="360" w:lineRule="auto"/>
        <w:jc w:val="center"/>
        <w:rPr>
          <w:rFonts w:ascii="Arial" w:hAnsi="Arial" w:cs="Arial"/>
          <w:b/>
          <w:bCs/>
          <w:color w:val="000000" w:themeColor="text1"/>
        </w:rPr>
      </w:pPr>
      <w:bookmarkStart w:id="87" w:name="_Toc64025918"/>
      <w:r w:rsidRPr="00711CC4">
        <w:rPr>
          <w:rFonts w:ascii="Arial" w:hAnsi="Arial" w:cs="Arial"/>
          <w:b/>
          <w:bCs/>
          <w:color w:val="000000" w:themeColor="text1"/>
        </w:rPr>
        <w:t>Figura</w:t>
      </w:r>
      <w:r w:rsidR="00077A07">
        <w:rPr>
          <w:rFonts w:ascii="Arial" w:hAnsi="Arial" w:cs="Arial"/>
          <w:b/>
          <w:bCs/>
          <w:color w:val="000000" w:themeColor="text1"/>
        </w:rPr>
        <w:t xml:space="preserve"> 15</w:t>
      </w:r>
      <w:r w:rsidRPr="00711CC4">
        <w:rPr>
          <w:rFonts w:ascii="Arial" w:hAnsi="Arial" w:cs="Arial"/>
          <w:b/>
          <w:bCs/>
          <w:color w:val="000000" w:themeColor="text1"/>
        </w:rPr>
        <w:t>.  Comparación de medias  para el grado de severidad del mildiu  en fase de formación de grano de los genotipos de la generación M3 de quinua. (Duncan α=0.05).</w:t>
      </w:r>
      <w:bookmarkEnd w:id="87"/>
    </w:p>
    <w:p w:rsidR="00B67794" w:rsidRPr="00711CC4" w:rsidRDefault="00077A07" w:rsidP="00032094">
      <w:pPr>
        <w:spacing w:line="360" w:lineRule="auto"/>
        <w:jc w:val="both"/>
        <w:rPr>
          <w:rFonts w:ascii="Arial" w:hAnsi="Arial" w:cs="Arial"/>
        </w:rPr>
      </w:pPr>
      <w:r>
        <w:rPr>
          <w:rFonts w:ascii="Arial" w:hAnsi="Arial" w:cs="Arial"/>
        </w:rPr>
        <w:lastRenderedPageBreak/>
        <w:t xml:space="preserve"> De acuerdo a la figura 15</w:t>
      </w:r>
      <w:r w:rsidR="00B67794" w:rsidRPr="00711CC4">
        <w:rPr>
          <w:rFonts w:ascii="Arial" w:hAnsi="Arial" w:cs="Arial"/>
        </w:rPr>
        <w:t xml:space="preserve">  en la comparación de medias para  el grado de severidad en la fase de formación de grano, el testigo obtuvo un mayor  incremento con un promedio de  36,39%.  Cabe mencionar que la necrosis de la hoja llegó al 50% del área foliar a causa de hongo a  diferencia de los genotipos obtuvieron medias similares, pero el tratamiento T2 se muestra inferior con un promedio de 22,70% teniendo un progreso menor  en la severidad del patógeno.</w:t>
      </w:r>
    </w:p>
    <w:p w:rsidR="00B67794" w:rsidRPr="00711CC4" w:rsidRDefault="00B67794" w:rsidP="00032094">
      <w:pPr>
        <w:spacing w:line="360" w:lineRule="auto"/>
        <w:jc w:val="both"/>
        <w:rPr>
          <w:rFonts w:ascii="Arial" w:hAnsi="Arial" w:cs="Arial"/>
        </w:rPr>
      </w:pPr>
      <w:r w:rsidRPr="00711CC4">
        <w:rPr>
          <w:rFonts w:ascii="Arial" w:hAnsi="Arial" w:cs="Arial"/>
        </w:rPr>
        <w:t xml:space="preserve">Asimismo, mencionar que  en esta fase hubo el ataque de plagas en la fase de larva  de </w:t>
      </w:r>
      <w:proofErr w:type="spellStart"/>
      <w:r w:rsidRPr="00711CC4">
        <w:rPr>
          <w:rFonts w:ascii="Arial" w:hAnsi="Arial" w:cs="Arial"/>
        </w:rPr>
        <w:t>Kona</w:t>
      </w:r>
      <w:proofErr w:type="spellEnd"/>
      <w:r w:rsidRPr="00711CC4">
        <w:rPr>
          <w:rFonts w:ascii="Arial" w:hAnsi="Arial" w:cs="Arial"/>
        </w:rPr>
        <w:t xml:space="preserve"> </w:t>
      </w:r>
      <w:proofErr w:type="spellStart"/>
      <w:r w:rsidRPr="00711CC4">
        <w:rPr>
          <w:rFonts w:ascii="Arial" w:hAnsi="Arial" w:cs="Arial"/>
        </w:rPr>
        <w:t>Kona</w:t>
      </w:r>
      <w:proofErr w:type="spellEnd"/>
      <w:r w:rsidRPr="00711CC4">
        <w:rPr>
          <w:rFonts w:ascii="Arial" w:hAnsi="Arial" w:cs="Arial"/>
        </w:rPr>
        <w:t>, pero se controló  con la</w:t>
      </w:r>
      <w:r w:rsidR="00032094" w:rsidRPr="00711CC4">
        <w:rPr>
          <w:rFonts w:ascii="Arial" w:hAnsi="Arial" w:cs="Arial"/>
        </w:rPr>
        <w:t xml:space="preserve"> aplicación de un insecticida</w:t>
      </w:r>
    </w:p>
    <w:p w:rsidR="00B67794" w:rsidRPr="00711CC4" w:rsidRDefault="00B67794" w:rsidP="00032094">
      <w:pPr>
        <w:spacing w:line="360" w:lineRule="auto"/>
        <w:jc w:val="both"/>
        <w:rPr>
          <w:rFonts w:ascii="Arial" w:hAnsi="Arial" w:cs="Arial"/>
          <w:b/>
        </w:rPr>
      </w:pPr>
      <w:r w:rsidRPr="00711CC4">
        <w:rPr>
          <w:rFonts w:ascii="Arial" w:hAnsi="Arial" w:cs="Arial"/>
        </w:rPr>
        <w:t xml:space="preserve"> </w:t>
      </w:r>
      <w:r w:rsidRPr="00711CC4">
        <w:rPr>
          <w:rFonts w:ascii="Arial" w:hAnsi="Arial" w:cs="Arial"/>
          <w:b/>
        </w:rPr>
        <w:t>Cálculo del Área Bajo la Curva de Progreso de la Enfermedad (AUDPC)</w:t>
      </w:r>
    </w:p>
    <w:p w:rsidR="00B67794" w:rsidRPr="00711CC4" w:rsidRDefault="00B67794" w:rsidP="0095154F">
      <w:pPr>
        <w:keepNext/>
        <w:spacing w:line="360" w:lineRule="auto"/>
        <w:jc w:val="center"/>
        <w:rPr>
          <w:rFonts w:ascii="Arial" w:hAnsi="Arial" w:cs="Arial"/>
        </w:rPr>
      </w:pPr>
      <w:r w:rsidRPr="00711CC4">
        <w:rPr>
          <w:rFonts w:ascii="Arial" w:hAnsi="Arial" w:cs="Arial"/>
          <w:noProof/>
          <w:lang w:eastAsia="es-ES"/>
        </w:rPr>
        <w:drawing>
          <wp:inline distT="0" distB="0" distL="0" distR="0" wp14:anchorId="314B98D1" wp14:editId="3C3268B6">
            <wp:extent cx="4572000" cy="2039816"/>
            <wp:effectExtent l="0" t="0" r="19050" b="1778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7794" w:rsidRPr="00711CC4" w:rsidRDefault="00B67794" w:rsidP="00032094">
      <w:pPr>
        <w:spacing w:line="360" w:lineRule="auto"/>
        <w:jc w:val="both"/>
        <w:rPr>
          <w:rFonts w:ascii="Arial" w:hAnsi="Arial" w:cs="Arial"/>
          <w:b/>
          <w:bCs/>
          <w:color w:val="000000" w:themeColor="text1"/>
        </w:rPr>
      </w:pPr>
      <w:bookmarkStart w:id="88" w:name="_Toc64025919"/>
      <w:r w:rsidRPr="00711CC4">
        <w:rPr>
          <w:rFonts w:ascii="Arial" w:hAnsi="Arial" w:cs="Arial"/>
          <w:b/>
          <w:bCs/>
          <w:color w:val="000000" w:themeColor="text1"/>
        </w:rPr>
        <w:t>Figura</w:t>
      </w:r>
      <w:r w:rsidR="00077A07">
        <w:rPr>
          <w:rFonts w:ascii="Arial" w:hAnsi="Arial" w:cs="Arial"/>
          <w:b/>
          <w:bCs/>
          <w:color w:val="000000" w:themeColor="text1"/>
        </w:rPr>
        <w:t xml:space="preserve"> 16</w:t>
      </w:r>
      <w:r w:rsidRPr="00711CC4">
        <w:rPr>
          <w:rFonts w:ascii="Arial" w:hAnsi="Arial" w:cs="Arial"/>
          <w:b/>
          <w:bCs/>
          <w:color w:val="000000" w:themeColor="text1"/>
        </w:rPr>
        <w:t>.  Evaluación del área bajo la curva de progreso de la enfermedad para cada tratamiento</w:t>
      </w:r>
      <w:bookmarkEnd w:id="88"/>
    </w:p>
    <w:p w:rsidR="00B67794" w:rsidRPr="00711CC4" w:rsidRDefault="00077A07" w:rsidP="00032094">
      <w:pPr>
        <w:spacing w:line="360" w:lineRule="auto"/>
        <w:jc w:val="both"/>
        <w:rPr>
          <w:rFonts w:ascii="Arial" w:hAnsi="Arial" w:cs="Arial"/>
        </w:rPr>
      </w:pPr>
      <w:r>
        <w:rPr>
          <w:rFonts w:ascii="Arial" w:hAnsi="Arial" w:cs="Arial"/>
        </w:rPr>
        <w:t>De acuerdo a la figura 16</w:t>
      </w:r>
      <w:r w:rsidR="00B67794" w:rsidRPr="00711CC4">
        <w:rPr>
          <w:rFonts w:ascii="Arial" w:hAnsi="Arial" w:cs="Arial"/>
        </w:rPr>
        <w:t xml:space="preserve"> bajo el cálculo de AUDPC   indica  que  cuanto menor sea el  valor  de la curva de progreso mayor es la resistencia de la planta hacia la infección del mildiu en la quinua, pese a que  el patógeno haya penetrado en el tejido de la hoja,  lo cual da a conocer que el genotipo  con menor área afectada por la enfermedad es el tratamientoT2 con un promedio de   1413,70 cm2 siendo inferior al testigo y a los tratamientos T3 y T1, dado a que durante su campaña agrícola se presentaron precipitaciones constantes cuales condiciones fueron favorables para el desarrollo del mildiu, </w:t>
      </w:r>
    </w:p>
    <w:p w:rsidR="00B67794" w:rsidRPr="00711CC4" w:rsidRDefault="00B67794" w:rsidP="00032094">
      <w:pPr>
        <w:spacing w:line="360" w:lineRule="auto"/>
        <w:jc w:val="both"/>
        <w:rPr>
          <w:rFonts w:ascii="Arial" w:hAnsi="Arial" w:cs="Arial"/>
        </w:rPr>
      </w:pPr>
      <w:r w:rsidRPr="00711CC4">
        <w:rPr>
          <w:rFonts w:ascii="Arial" w:hAnsi="Arial" w:cs="Arial"/>
        </w:rPr>
        <w:t xml:space="preserve">Mediante estudios realizados por  Bernardo (2020)  en la respuesta al mildiu en la  población M3 del cultivo de quinua Variedad Amarilla </w:t>
      </w:r>
      <w:proofErr w:type="spellStart"/>
      <w:r w:rsidRPr="00711CC4">
        <w:rPr>
          <w:rFonts w:ascii="Arial" w:hAnsi="Arial" w:cs="Arial"/>
        </w:rPr>
        <w:t>Maranguani</w:t>
      </w:r>
      <w:proofErr w:type="spellEnd"/>
      <w:r w:rsidRPr="00711CC4">
        <w:rPr>
          <w:rFonts w:ascii="Arial" w:hAnsi="Arial" w:cs="Arial"/>
        </w:rPr>
        <w:t xml:space="preserve"> provenientes de semillas irradiadas con rayos gamma de 150 Gy y 250 Gy logró encontrar genotipos resistentes del mildiu, por lo que menciona que durante las primeras evaluaciones   obtuvo mayor incremento  en la severidad  y se fue disminuyendo  al finales del ciclo </w:t>
      </w:r>
      <w:r w:rsidRPr="00711CC4">
        <w:rPr>
          <w:rFonts w:ascii="Arial" w:hAnsi="Arial" w:cs="Arial"/>
        </w:rPr>
        <w:lastRenderedPageBreak/>
        <w:t>fenológico de la quinua,  de manera que no se observó en el presente trabajo de investigación debido a las constantes precipitaciones que se presentaron  en las últimas fases fenológicas del cultivo, favoreciendo  al desarrollo del patógeno y su diseminación en la planta.</w:t>
      </w:r>
    </w:p>
    <w:p w:rsidR="00B67794" w:rsidRPr="00711CC4" w:rsidRDefault="00B67794" w:rsidP="00032094">
      <w:pPr>
        <w:spacing w:line="360" w:lineRule="auto"/>
        <w:jc w:val="both"/>
        <w:rPr>
          <w:rFonts w:ascii="Arial" w:hAnsi="Arial" w:cs="Arial"/>
        </w:rPr>
      </w:pPr>
      <w:r w:rsidRPr="00711CC4">
        <w:rPr>
          <w:rFonts w:ascii="Arial" w:hAnsi="Arial" w:cs="Arial"/>
        </w:rPr>
        <w:t xml:space="preserve">Los genotipos de resistencia  evaluada  por el mismo autor durante toda la campaña agrícola obtuvieron  valores de 582.5 a 1373.8 cm2  del área afectada por el patógeno  debido a que tuvieron una descendencia de severidad en las últimas fases fenológicas del cultivo a diferencia de los genotipos susceptibles  y del testigo que dieron valores de 1085.0 a 2865.0 a causa de un incremento de la severidad en la última fase de la campaña agrícola. </w:t>
      </w:r>
    </w:p>
    <w:p w:rsidR="00B67794" w:rsidRPr="00711CC4" w:rsidRDefault="00B67794" w:rsidP="00032094">
      <w:pPr>
        <w:spacing w:line="360" w:lineRule="auto"/>
        <w:jc w:val="both"/>
        <w:rPr>
          <w:rFonts w:ascii="Arial" w:hAnsi="Arial" w:cs="Arial"/>
        </w:rPr>
      </w:pPr>
      <w:r w:rsidRPr="00711CC4">
        <w:rPr>
          <w:rFonts w:ascii="Arial" w:hAnsi="Arial" w:cs="Arial"/>
        </w:rPr>
        <w:t>Los genotipos del presente trabajo de investigación mediante las evaluaciones realizadas en su campaña agrícola demostraron promedios similares en el porcentaje de severidad respecto al testigo, pero el T2 demostró un menor grado de severidad y mediante el cálculo de la AUDPC  se logró verificar que el T2 obtuvo un área mínima afectada por el hongo (</w:t>
      </w:r>
      <w:proofErr w:type="spellStart"/>
      <w:r w:rsidRPr="00711CC4">
        <w:rPr>
          <w:rFonts w:ascii="Arial" w:hAnsi="Arial" w:cs="Arial"/>
          <w:i/>
        </w:rPr>
        <w:t>Peronospora</w:t>
      </w:r>
      <w:proofErr w:type="spellEnd"/>
      <w:r w:rsidRPr="00711CC4">
        <w:rPr>
          <w:rFonts w:ascii="Arial" w:hAnsi="Arial" w:cs="Arial"/>
          <w:i/>
        </w:rPr>
        <w:t xml:space="preserve"> </w:t>
      </w:r>
      <w:proofErr w:type="spellStart"/>
      <w:r w:rsidRPr="00711CC4">
        <w:rPr>
          <w:rFonts w:ascii="Arial" w:hAnsi="Arial" w:cs="Arial"/>
          <w:i/>
        </w:rPr>
        <w:t>variabilis</w:t>
      </w:r>
      <w:proofErr w:type="spellEnd"/>
      <w:r w:rsidRPr="00711CC4">
        <w:rPr>
          <w:rFonts w:ascii="Arial" w:hAnsi="Arial" w:cs="Arial"/>
        </w:rPr>
        <w:t>) respecto a los genotipos T1 Y T3.</w:t>
      </w:r>
    </w:p>
    <w:p w:rsidR="00B67794" w:rsidRPr="00711CC4" w:rsidRDefault="00B67794" w:rsidP="00032094">
      <w:pPr>
        <w:spacing w:line="360" w:lineRule="auto"/>
        <w:jc w:val="both"/>
        <w:rPr>
          <w:rFonts w:ascii="Arial" w:hAnsi="Arial" w:cs="Arial"/>
        </w:rPr>
      </w:pPr>
      <w:r w:rsidRPr="00711CC4">
        <w:rPr>
          <w:rFonts w:ascii="Arial" w:hAnsi="Arial" w:cs="Arial"/>
        </w:rPr>
        <w:t xml:space="preserve">Gandarillas </w:t>
      </w:r>
      <w:r w:rsidRPr="00711CC4">
        <w:rPr>
          <w:rFonts w:ascii="Arial" w:hAnsi="Arial" w:cs="Arial"/>
          <w:i/>
        </w:rPr>
        <w:t>et al</w:t>
      </w:r>
      <w:r w:rsidRPr="00711CC4">
        <w:rPr>
          <w:rFonts w:ascii="Arial" w:hAnsi="Arial" w:cs="Arial"/>
        </w:rPr>
        <w:t xml:space="preserve">. (2014), consideran que para combatir con el mildiu es buscar una variedad resistente a la enfermedad y que requieran menor cantidad de fungicidas, en este caso en el presente trabajo de investigación los genotipos presentaron menor grado de severidad, siendo probablemente resistentes a la enfermedad pero aún deben ser evaluadas en otras generaciones. </w:t>
      </w:r>
    </w:p>
    <w:p w:rsidR="002644A1" w:rsidRDefault="002644A1" w:rsidP="002644A1">
      <w:pPr>
        <w:spacing w:line="360" w:lineRule="auto"/>
        <w:jc w:val="center"/>
        <w:rPr>
          <w:rFonts w:ascii="Arial" w:hAnsi="Arial" w:cs="Arial"/>
        </w:rPr>
      </w:pPr>
      <w:bookmarkStart w:id="89" w:name="_Toc65306590"/>
    </w:p>
    <w:p w:rsidR="0095154F" w:rsidRPr="002644A1" w:rsidRDefault="0095154F" w:rsidP="002644A1">
      <w:pPr>
        <w:spacing w:line="360" w:lineRule="auto"/>
        <w:jc w:val="center"/>
        <w:rPr>
          <w:rFonts w:ascii="Arial" w:hAnsi="Arial" w:cs="Arial"/>
        </w:rPr>
      </w:pPr>
      <w:r w:rsidRPr="00711CC4">
        <w:rPr>
          <w:rFonts w:ascii="Arial" w:hAnsi="Arial" w:cs="Arial"/>
          <w:b/>
        </w:rPr>
        <w:t>CAPITULO VIII</w:t>
      </w:r>
    </w:p>
    <w:p w:rsidR="00B67794" w:rsidRPr="00711CC4" w:rsidRDefault="00B67794" w:rsidP="0095154F">
      <w:pPr>
        <w:spacing w:line="360" w:lineRule="auto"/>
        <w:jc w:val="center"/>
        <w:rPr>
          <w:rFonts w:ascii="Arial" w:hAnsi="Arial" w:cs="Arial"/>
          <w:b/>
        </w:rPr>
      </w:pPr>
      <w:r w:rsidRPr="00711CC4">
        <w:rPr>
          <w:rFonts w:ascii="Arial" w:eastAsiaTheme="majorEastAsia" w:hAnsi="Arial" w:cs="Arial"/>
          <w:b/>
          <w:bCs/>
          <w:color w:val="000000" w:themeColor="text1"/>
        </w:rPr>
        <w:t>CONCLUSIONES</w:t>
      </w:r>
      <w:bookmarkEnd w:id="89"/>
    </w:p>
    <w:p w:rsidR="00B67794" w:rsidRPr="00711CC4" w:rsidRDefault="00B67794" w:rsidP="00032094">
      <w:pPr>
        <w:spacing w:line="360" w:lineRule="auto"/>
        <w:jc w:val="both"/>
        <w:rPr>
          <w:rFonts w:ascii="Arial" w:hAnsi="Arial" w:cs="Arial"/>
        </w:rPr>
      </w:pPr>
    </w:p>
    <w:p w:rsidR="00B67794" w:rsidRPr="00711CC4" w:rsidRDefault="00B67794" w:rsidP="00032094">
      <w:pPr>
        <w:spacing w:line="360" w:lineRule="auto"/>
        <w:jc w:val="both"/>
        <w:rPr>
          <w:rFonts w:ascii="Arial" w:hAnsi="Arial" w:cs="Arial"/>
        </w:rPr>
      </w:pPr>
      <w:r w:rsidRPr="00711CC4">
        <w:rPr>
          <w:rFonts w:ascii="Arial" w:hAnsi="Arial" w:cs="Arial"/>
        </w:rPr>
        <w:t xml:space="preserve">De acuerdo a los objetivos planteados en el presente trabajo de investigación  se llegaron   a las siguientes conclusiones: </w:t>
      </w:r>
    </w:p>
    <w:p w:rsidR="00B67794" w:rsidRPr="00711CC4" w:rsidRDefault="00B67794" w:rsidP="0095154F">
      <w:pPr>
        <w:pStyle w:val="Prrafodelista"/>
        <w:numPr>
          <w:ilvl w:val="0"/>
          <w:numId w:val="32"/>
        </w:numPr>
        <w:spacing w:line="360" w:lineRule="auto"/>
        <w:jc w:val="both"/>
        <w:rPr>
          <w:rFonts w:ascii="Arial" w:hAnsi="Arial" w:cs="Arial"/>
        </w:rPr>
      </w:pPr>
      <w:r w:rsidRPr="00711CC4">
        <w:rPr>
          <w:rFonts w:ascii="Arial" w:hAnsi="Arial" w:cs="Arial"/>
        </w:rPr>
        <w:lastRenderedPageBreak/>
        <w:t xml:space="preserve">Los  primeros síntomas de la enfermedad del mildiu inicio en la fase de ocho hojas verdaderas, de manera que los genotipos demostraron ser similares respecto al porcentaje de severidad desde los 42 días hasta los 123 días después de la siembra. </w:t>
      </w:r>
    </w:p>
    <w:p w:rsidR="00B67794" w:rsidRPr="00711CC4" w:rsidRDefault="00B67794" w:rsidP="0095154F">
      <w:pPr>
        <w:pStyle w:val="Prrafodelista"/>
        <w:numPr>
          <w:ilvl w:val="0"/>
          <w:numId w:val="32"/>
        </w:numPr>
        <w:spacing w:line="360" w:lineRule="auto"/>
        <w:jc w:val="both"/>
        <w:rPr>
          <w:rFonts w:ascii="Arial" w:hAnsi="Arial" w:cs="Arial"/>
        </w:rPr>
      </w:pPr>
      <w:r w:rsidRPr="00711CC4">
        <w:rPr>
          <w:rFonts w:ascii="Arial" w:hAnsi="Arial" w:cs="Arial"/>
        </w:rPr>
        <w:t xml:space="preserve">Se identificaron y seleccionaron plantas que presentaron menor porcentaje de severidad a la enfermedad siendo características del  tratamiento T2, se podría decir que las plantas mutantes seleccionadas  probablemente sean resistentes a la enfermedad por la irradiación realizada  con rayos gamma Co-60 en la generación Mo. </w:t>
      </w:r>
    </w:p>
    <w:p w:rsidR="00B67794" w:rsidRPr="00711CC4" w:rsidRDefault="00B67794" w:rsidP="0095154F">
      <w:pPr>
        <w:pStyle w:val="Prrafodelista"/>
        <w:numPr>
          <w:ilvl w:val="0"/>
          <w:numId w:val="32"/>
        </w:numPr>
        <w:spacing w:line="360" w:lineRule="auto"/>
        <w:jc w:val="both"/>
        <w:rPr>
          <w:rFonts w:ascii="Arial" w:hAnsi="Arial" w:cs="Arial"/>
        </w:rPr>
      </w:pPr>
      <w:r w:rsidRPr="00711CC4">
        <w:rPr>
          <w:rFonts w:ascii="Arial" w:hAnsi="Arial" w:cs="Arial"/>
        </w:rPr>
        <w:t xml:space="preserve">El cálculo de AUDPC obtuvo menor promedio de 1413.70 cm2 del área afectada por  el mildiu, lo cual nos da a conocer el grado de resistencia   que presentó el genotipo-10, pese a que el patógeno haya penetrado en el tejido de la hoja. </w:t>
      </w:r>
    </w:p>
    <w:p w:rsidR="00B67794" w:rsidRPr="00711CC4" w:rsidRDefault="00B67794" w:rsidP="0095154F">
      <w:pPr>
        <w:pStyle w:val="Prrafodelista"/>
        <w:numPr>
          <w:ilvl w:val="0"/>
          <w:numId w:val="32"/>
        </w:numPr>
        <w:spacing w:line="360" w:lineRule="auto"/>
        <w:jc w:val="both"/>
        <w:rPr>
          <w:rFonts w:ascii="Arial" w:hAnsi="Arial" w:cs="Arial"/>
        </w:rPr>
      </w:pPr>
      <w:r w:rsidRPr="00711CC4">
        <w:rPr>
          <w:rFonts w:ascii="Arial" w:hAnsi="Arial" w:cs="Arial"/>
        </w:rPr>
        <w:t>En cuanto a la altura de la planta el testigo fue mayor  con un promedio de 42,475 cm en comparación con los genotipos T1, T2 y T3  con promedios de 31,300 cm, 38,075 cm y 38,95 cm, demostraron una disminución en su tamaño,  a causa de los efectos de la mutación en interacción con el ambiente.</w:t>
      </w:r>
    </w:p>
    <w:p w:rsidR="00B67794" w:rsidRPr="0095154F" w:rsidRDefault="00B67794" w:rsidP="0095154F">
      <w:pPr>
        <w:pStyle w:val="Prrafodelista"/>
        <w:numPr>
          <w:ilvl w:val="0"/>
          <w:numId w:val="32"/>
        </w:numPr>
        <w:spacing w:line="360" w:lineRule="auto"/>
        <w:jc w:val="both"/>
        <w:rPr>
          <w:rFonts w:ascii="Arial" w:hAnsi="Arial" w:cs="Arial"/>
        </w:rPr>
      </w:pPr>
      <w:r w:rsidRPr="00711CC4">
        <w:rPr>
          <w:rFonts w:ascii="Arial" w:hAnsi="Arial" w:cs="Arial"/>
        </w:rPr>
        <w:t>Respecto al rendimiento el mildiu si tuvo efecto en la obtención de  la cantidad de grano, siendo que el testigo obtuvo un rendimiento de 196.56 kg/ha considerándose  susceptible a la enfermedad al igual que los tratamientos T1</w:t>
      </w:r>
      <w:r w:rsidR="0095154F" w:rsidRPr="00711CC4">
        <w:rPr>
          <w:rFonts w:ascii="Arial" w:hAnsi="Arial" w:cs="Arial"/>
        </w:rPr>
        <w:t xml:space="preserve"> </w:t>
      </w:r>
      <w:r w:rsidRPr="00711CC4">
        <w:rPr>
          <w:rFonts w:ascii="Arial" w:hAnsi="Arial" w:cs="Arial"/>
        </w:rPr>
        <w:t>(G-7), T3</w:t>
      </w:r>
      <w:r w:rsidR="0095154F" w:rsidRPr="00711CC4">
        <w:rPr>
          <w:rFonts w:ascii="Arial" w:hAnsi="Arial" w:cs="Arial"/>
        </w:rPr>
        <w:t xml:space="preserve"> </w:t>
      </w:r>
      <w:r w:rsidRPr="00711CC4">
        <w:rPr>
          <w:rFonts w:ascii="Arial" w:hAnsi="Arial" w:cs="Arial"/>
        </w:rPr>
        <w:t>(G-15) con valores de 272.24 y 284.20 kg/ha a diferencia del tratamiento T2 (G-10) que presentó un incremento de 489.64 Kg/</w:t>
      </w:r>
      <w:r w:rsidRPr="0095154F">
        <w:rPr>
          <w:rFonts w:ascii="Arial" w:hAnsi="Arial" w:cs="Arial"/>
        </w:rPr>
        <w:t>ha.</w:t>
      </w:r>
    </w:p>
    <w:p w:rsidR="00B67794" w:rsidRPr="00032094" w:rsidRDefault="00B67794" w:rsidP="00032094">
      <w:pPr>
        <w:spacing w:line="360" w:lineRule="auto"/>
        <w:jc w:val="both"/>
        <w:rPr>
          <w:rFonts w:ascii="Arial" w:hAnsi="Arial" w:cs="Arial"/>
        </w:rPr>
      </w:pPr>
    </w:p>
    <w:p w:rsidR="00B67794" w:rsidRDefault="00B67794" w:rsidP="00032094">
      <w:pPr>
        <w:spacing w:line="360" w:lineRule="auto"/>
        <w:jc w:val="both"/>
        <w:rPr>
          <w:rFonts w:ascii="Arial" w:hAnsi="Arial" w:cs="Arial"/>
        </w:rPr>
      </w:pPr>
    </w:p>
    <w:p w:rsidR="00032094" w:rsidRDefault="00032094" w:rsidP="00032094">
      <w:pPr>
        <w:spacing w:line="360" w:lineRule="auto"/>
        <w:jc w:val="both"/>
        <w:rPr>
          <w:rFonts w:ascii="Arial" w:hAnsi="Arial" w:cs="Arial"/>
        </w:rPr>
      </w:pPr>
    </w:p>
    <w:p w:rsidR="00032094" w:rsidRDefault="00032094" w:rsidP="00032094">
      <w:pPr>
        <w:spacing w:line="360" w:lineRule="auto"/>
        <w:jc w:val="both"/>
        <w:rPr>
          <w:rFonts w:ascii="Arial" w:hAnsi="Arial" w:cs="Arial"/>
        </w:rPr>
      </w:pPr>
    </w:p>
    <w:p w:rsidR="00032094" w:rsidRDefault="00032094" w:rsidP="00032094">
      <w:pPr>
        <w:spacing w:line="360" w:lineRule="auto"/>
        <w:jc w:val="both"/>
        <w:rPr>
          <w:rFonts w:ascii="Arial" w:hAnsi="Arial" w:cs="Arial"/>
        </w:rPr>
      </w:pPr>
    </w:p>
    <w:p w:rsidR="00032094" w:rsidRPr="00032094" w:rsidRDefault="00032094" w:rsidP="00032094">
      <w:pPr>
        <w:spacing w:line="360" w:lineRule="auto"/>
        <w:jc w:val="both"/>
        <w:rPr>
          <w:rFonts w:ascii="Arial" w:hAnsi="Arial" w:cs="Arial"/>
        </w:rPr>
      </w:pPr>
    </w:p>
    <w:p w:rsidR="00730C4E" w:rsidRPr="00032094" w:rsidRDefault="00730C4E" w:rsidP="00032094">
      <w:pPr>
        <w:spacing w:line="360" w:lineRule="auto"/>
        <w:jc w:val="both"/>
        <w:rPr>
          <w:rFonts w:ascii="Arial" w:hAnsi="Arial" w:cs="Arial"/>
        </w:rPr>
      </w:pPr>
    </w:p>
    <w:sectPr w:rsidR="00730C4E" w:rsidRPr="0003209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D70"/>
    <w:multiLevelType w:val="hybridMultilevel"/>
    <w:tmpl w:val="823E1202"/>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
    <w:nsid w:val="017F10A5"/>
    <w:multiLevelType w:val="multilevel"/>
    <w:tmpl w:val="7354E546"/>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BA79D2"/>
    <w:multiLevelType w:val="hybridMultilevel"/>
    <w:tmpl w:val="863879BE"/>
    <w:lvl w:ilvl="0" w:tplc="4D5E9654">
      <w:start w:val="1"/>
      <w:numFmt w:val="lowerLetter"/>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3">
    <w:nsid w:val="0950634A"/>
    <w:multiLevelType w:val="hybridMultilevel"/>
    <w:tmpl w:val="8ED85F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D2331D"/>
    <w:multiLevelType w:val="hybridMultilevel"/>
    <w:tmpl w:val="25D6E2CA"/>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5">
    <w:nsid w:val="0BE634CA"/>
    <w:multiLevelType w:val="hybridMultilevel"/>
    <w:tmpl w:val="B8CAA96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0C345C24"/>
    <w:multiLevelType w:val="hybridMultilevel"/>
    <w:tmpl w:val="8916B8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CDC188D"/>
    <w:multiLevelType w:val="hybridMultilevel"/>
    <w:tmpl w:val="185847C2"/>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nsid w:val="0D01225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E550A76"/>
    <w:multiLevelType w:val="multilevel"/>
    <w:tmpl w:val="88EC27D6"/>
    <w:lvl w:ilvl="0">
      <w:start w:val="1"/>
      <w:numFmt w:val="decimal"/>
      <w:pStyle w:val="Ttulo1"/>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292" w:hanging="576"/>
      </w:pPr>
    </w:lvl>
    <w:lvl w:ilvl="2">
      <w:start w:val="1"/>
      <w:numFmt w:val="decimal"/>
      <w:pStyle w:val="Ttulo3"/>
      <w:lvlText w:val="%1.%2.%3"/>
      <w:lvlJc w:val="left"/>
      <w:pPr>
        <w:ind w:left="436"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580" w:hanging="864"/>
      </w:pPr>
      <w:rPr>
        <w:b/>
        <w:color w:val="000000" w:themeColor="text1"/>
      </w:rPr>
    </w:lvl>
    <w:lvl w:ilvl="4">
      <w:start w:val="1"/>
      <w:numFmt w:val="decimal"/>
      <w:pStyle w:val="Ttulo5"/>
      <w:lvlText w:val="%1.%2.%3.%4.%5"/>
      <w:lvlJc w:val="left"/>
      <w:pPr>
        <w:ind w:left="724" w:hanging="1008"/>
      </w:pPr>
      <w:rPr>
        <w:color w:val="000000" w:themeColor="text1"/>
      </w:rPr>
    </w:lvl>
    <w:lvl w:ilvl="5">
      <w:start w:val="1"/>
      <w:numFmt w:val="decimal"/>
      <w:pStyle w:val="Ttulo6"/>
      <w:lvlText w:val="%1.%2.%3.%4.%5.%6"/>
      <w:lvlJc w:val="left"/>
      <w:pPr>
        <w:ind w:left="868" w:hanging="1152"/>
      </w:pPr>
    </w:lvl>
    <w:lvl w:ilvl="6">
      <w:start w:val="1"/>
      <w:numFmt w:val="decimal"/>
      <w:pStyle w:val="Ttulo7"/>
      <w:lvlText w:val="%1.%2.%3.%4.%5.%6.%7"/>
      <w:lvlJc w:val="left"/>
      <w:pPr>
        <w:ind w:left="1012" w:hanging="1296"/>
      </w:pPr>
    </w:lvl>
    <w:lvl w:ilvl="7">
      <w:start w:val="1"/>
      <w:numFmt w:val="decimal"/>
      <w:pStyle w:val="Ttulo8"/>
      <w:lvlText w:val="%1.%2.%3.%4.%5.%6.%7.%8"/>
      <w:lvlJc w:val="left"/>
      <w:pPr>
        <w:ind w:left="1156" w:hanging="1440"/>
      </w:pPr>
    </w:lvl>
    <w:lvl w:ilvl="8">
      <w:start w:val="1"/>
      <w:numFmt w:val="decimal"/>
      <w:pStyle w:val="Ttulo9"/>
      <w:lvlText w:val="%1.%2.%3.%4.%5.%6.%7.%8.%9"/>
      <w:lvlJc w:val="left"/>
      <w:pPr>
        <w:ind w:left="1300" w:hanging="1584"/>
      </w:pPr>
    </w:lvl>
  </w:abstractNum>
  <w:abstractNum w:abstractNumId="10">
    <w:nsid w:val="0F8E62B3"/>
    <w:multiLevelType w:val="multilevel"/>
    <w:tmpl w:val="B64AC74C"/>
    <w:lvl w:ilvl="0">
      <w:start w:val="2"/>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1080" w:hanging="1080"/>
      </w:pPr>
      <w:rPr>
        <w:rFonts w:hint="default"/>
        <w:b/>
        <w:color w:val="000000" w:themeColor="text1"/>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3235CE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3E5689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7F7045B"/>
    <w:multiLevelType w:val="hybridMultilevel"/>
    <w:tmpl w:val="AB02E50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4">
    <w:nsid w:val="180C282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90F0057"/>
    <w:multiLevelType w:val="hybridMultilevel"/>
    <w:tmpl w:val="4AC832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CC319F6"/>
    <w:multiLevelType w:val="multilevel"/>
    <w:tmpl w:val="0A70EF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1EBA00BC"/>
    <w:multiLevelType w:val="hybridMultilevel"/>
    <w:tmpl w:val="936E6D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FF523F7"/>
    <w:multiLevelType w:val="multilevel"/>
    <w:tmpl w:val="CC965286"/>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8557C9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ABC2AB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4640C2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90529CF"/>
    <w:multiLevelType w:val="hybridMultilevel"/>
    <w:tmpl w:val="89202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DB4385F"/>
    <w:multiLevelType w:val="hybridMultilevel"/>
    <w:tmpl w:val="7CD22B6C"/>
    <w:lvl w:ilvl="0" w:tplc="6DE205C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50F69B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BB57FC0"/>
    <w:multiLevelType w:val="hybridMultilevel"/>
    <w:tmpl w:val="568A77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CF25897"/>
    <w:multiLevelType w:val="multilevel"/>
    <w:tmpl w:val="E98C34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704F4E80"/>
    <w:multiLevelType w:val="hybridMultilevel"/>
    <w:tmpl w:val="1E5E5C38"/>
    <w:lvl w:ilvl="0" w:tplc="0C0A0001">
      <w:start w:val="1"/>
      <w:numFmt w:val="bullet"/>
      <w:lvlText w:val=""/>
      <w:lvlJc w:val="left"/>
      <w:pPr>
        <w:ind w:left="1957" w:hanging="360"/>
      </w:pPr>
      <w:rPr>
        <w:rFonts w:ascii="Symbol" w:hAnsi="Symbol" w:hint="default"/>
      </w:rPr>
    </w:lvl>
    <w:lvl w:ilvl="1" w:tplc="0C0A0003" w:tentative="1">
      <w:start w:val="1"/>
      <w:numFmt w:val="bullet"/>
      <w:lvlText w:val="o"/>
      <w:lvlJc w:val="left"/>
      <w:pPr>
        <w:ind w:left="2677" w:hanging="360"/>
      </w:pPr>
      <w:rPr>
        <w:rFonts w:ascii="Courier New" w:hAnsi="Courier New" w:cs="Courier New" w:hint="default"/>
      </w:rPr>
    </w:lvl>
    <w:lvl w:ilvl="2" w:tplc="0C0A0005" w:tentative="1">
      <w:start w:val="1"/>
      <w:numFmt w:val="bullet"/>
      <w:lvlText w:val=""/>
      <w:lvlJc w:val="left"/>
      <w:pPr>
        <w:ind w:left="3397" w:hanging="360"/>
      </w:pPr>
      <w:rPr>
        <w:rFonts w:ascii="Wingdings" w:hAnsi="Wingdings" w:hint="default"/>
      </w:rPr>
    </w:lvl>
    <w:lvl w:ilvl="3" w:tplc="0C0A0001" w:tentative="1">
      <w:start w:val="1"/>
      <w:numFmt w:val="bullet"/>
      <w:lvlText w:val=""/>
      <w:lvlJc w:val="left"/>
      <w:pPr>
        <w:ind w:left="4117" w:hanging="360"/>
      </w:pPr>
      <w:rPr>
        <w:rFonts w:ascii="Symbol" w:hAnsi="Symbol" w:hint="default"/>
      </w:rPr>
    </w:lvl>
    <w:lvl w:ilvl="4" w:tplc="0C0A0003" w:tentative="1">
      <w:start w:val="1"/>
      <w:numFmt w:val="bullet"/>
      <w:lvlText w:val="o"/>
      <w:lvlJc w:val="left"/>
      <w:pPr>
        <w:ind w:left="4837" w:hanging="360"/>
      </w:pPr>
      <w:rPr>
        <w:rFonts w:ascii="Courier New" w:hAnsi="Courier New" w:cs="Courier New" w:hint="default"/>
      </w:rPr>
    </w:lvl>
    <w:lvl w:ilvl="5" w:tplc="0C0A0005" w:tentative="1">
      <w:start w:val="1"/>
      <w:numFmt w:val="bullet"/>
      <w:lvlText w:val=""/>
      <w:lvlJc w:val="left"/>
      <w:pPr>
        <w:ind w:left="5557" w:hanging="360"/>
      </w:pPr>
      <w:rPr>
        <w:rFonts w:ascii="Wingdings" w:hAnsi="Wingdings" w:hint="default"/>
      </w:rPr>
    </w:lvl>
    <w:lvl w:ilvl="6" w:tplc="0C0A0001" w:tentative="1">
      <w:start w:val="1"/>
      <w:numFmt w:val="bullet"/>
      <w:lvlText w:val=""/>
      <w:lvlJc w:val="left"/>
      <w:pPr>
        <w:ind w:left="6277" w:hanging="360"/>
      </w:pPr>
      <w:rPr>
        <w:rFonts w:ascii="Symbol" w:hAnsi="Symbol" w:hint="default"/>
      </w:rPr>
    </w:lvl>
    <w:lvl w:ilvl="7" w:tplc="0C0A0003" w:tentative="1">
      <w:start w:val="1"/>
      <w:numFmt w:val="bullet"/>
      <w:lvlText w:val="o"/>
      <w:lvlJc w:val="left"/>
      <w:pPr>
        <w:ind w:left="6997" w:hanging="360"/>
      </w:pPr>
      <w:rPr>
        <w:rFonts w:ascii="Courier New" w:hAnsi="Courier New" w:cs="Courier New" w:hint="default"/>
      </w:rPr>
    </w:lvl>
    <w:lvl w:ilvl="8" w:tplc="0C0A0005" w:tentative="1">
      <w:start w:val="1"/>
      <w:numFmt w:val="bullet"/>
      <w:lvlText w:val=""/>
      <w:lvlJc w:val="left"/>
      <w:pPr>
        <w:ind w:left="7717" w:hanging="360"/>
      </w:pPr>
      <w:rPr>
        <w:rFonts w:ascii="Wingdings" w:hAnsi="Wingdings" w:hint="default"/>
      </w:rPr>
    </w:lvl>
  </w:abstractNum>
  <w:abstractNum w:abstractNumId="28">
    <w:nsid w:val="76235CD5"/>
    <w:multiLevelType w:val="multilevel"/>
    <w:tmpl w:val="55AE4598"/>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8151EE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C09399B"/>
    <w:multiLevelType w:val="hybridMultilevel"/>
    <w:tmpl w:val="33CC959C"/>
    <w:lvl w:ilvl="0" w:tplc="0C0A0001">
      <w:start w:val="1"/>
      <w:numFmt w:val="bullet"/>
      <w:lvlText w:val=""/>
      <w:lvlJc w:val="left"/>
      <w:pPr>
        <w:ind w:left="789" w:hanging="360"/>
      </w:pPr>
      <w:rPr>
        <w:rFonts w:ascii="Symbol" w:hAnsi="Symbol" w:hint="default"/>
      </w:rPr>
    </w:lvl>
    <w:lvl w:ilvl="1" w:tplc="0C0A0003" w:tentative="1">
      <w:start w:val="1"/>
      <w:numFmt w:val="bullet"/>
      <w:lvlText w:val="o"/>
      <w:lvlJc w:val="left"/>
      <w:pPr>
        <w:ind w:left="1509" w:hanging="360"/>
      </w:pPr>
      <w:rPr>
        <w:rFonts w:ascii="Courier New" w:hAnsi="Courier New" w:cs="Courier New" w:hint="default"/>
      </w:rPr>
    </w:lvl>
    <w:lvl w:ilvl="2" w:tplc="0C0A0005" w:tentative="1">
      <w:start w:val="1"/>
      <w:numFmt w:val="bullet"/>
      <w:lvlText w:val=""/>
      <w:lvlJc w:val="left"/>
      <w:pPr>
        <w:ind w:left="2229" w:hanging="360"/>
      </w:pPr>
      <w:rPr>
        <w:rFonts w:ascii="Wingdings" w:hAnsi="Wingdings" w:hint="default"/>
      </w:rPr>
    </w:lvl>
    <w:lvl w:ilvl="3" w:tplc="0C0A0001" w:tentative="1">
      <w:start w:val="1"/>
      <w:numFmt w:val="bullet"/>
      <w:lvlText w:val=""/>
      <w:lvlJc w:val="left"/>
      <w:pPr>
        <w:ind w:left="2949" w:hanging="360"/>
      </w:pPr>
      <w:rPr>
        <w:rFonts w:ascii="Symbol" w:hAnsi="Symbol" w:hint="default"/>
      </w:rPr>
    </w:lvl>
    <w:lvl w:ilvl="4" w:tplc="0C0A0003" w:tentative="1">
      <w:start w:val="1"/>
      <w:numFmt w:val="bullet"/>
      <w:lvlText w:val="o"/>
      <w:lvlJc w:val="left"/>
      <w:pPr>
        <w:ind w:left="3669" w:hanging="360"/>
      </w:pPr>
      <w:rPr>
        <w:rFonts w:ascii="Courier New" w:hAnsi="Courier New" w:cs="Courier New" w:hint="default"/>
      </w:rPr>
    </w:lvl>
    <w:lvl w:ilvl="5" w:tplc="0C0A0005" w:tentative="1">
      <w:start w:val="1"/>
      <w:numFmt w:val="bullet"/>
      <w:lvlText w:val=""/>
      <w:lvlJc w:val="left"/>
      <w:pPr>
        <w:ind w:left="4389" w:hanging="360"/>
      </w:pPr>
      <w:rPr>
        <w:rFonts w:ascii="Wingdings" w:hAnsi="Wingdings" w:hint="default"/>
      </w:rPr>
    </w:lvl>
    <w:lvl w:ilvl="6" w:tplc="0C0A0001" w:tentative="1">
      <w:start w:val="1"/>
      <w:numFmt w:val="bullet"/>
      <w:lvlText w:val=""/>
      <w:lvlJc w:val="left"/>
      <w:pPr>
        <w:ind w:left="5109" w:hanging="360"/>
      </w:pPr>
      <w:rPr>
        <w:rFonts w:ascii="Symbol" w:hAnsi="Symbol" w:hint="default"/>
      </w:rPr>
    </w:lvl>
    <w:lvl w:ilvl="7" w:tplc="0C0A0003" w:tentative="1">
      <w:start w:val="1"/>
      <w:numFmt w:val="bullet"/>
      <w:lvlText w:val="o"/>
      <w:lvlJc w:val="left"/>
      <w:pPr>
        <w:ind w:left="5829" w:hanging="360"/>
      </w:pPr>
      <w:rPr>
        <w:rFonts w:ascii="Courier New" w:hAnsi="Courier New" w:cs="Courier New" w:hint="default"/>
      </w:rPr>
    </w:lvl>
    <w:lvl w:ilvl="8" w:tplc="0C0A0005" w:tentative="1">
      <w:start w:val="1"/>
      <w:numFmt w:val="bullet"/>
      <w:lvlText w:val=""/>
      <w:lvlJc w:val="left"/>
      <w:pPr>
        <w:ind w:left="6549" w:hanging="360"/>
      </w:pPr>
      <w:rPr>
        <w:rFonts w:ascii="Wingdings" w:hAnsi="Wingdings" w:hint="default"/>
      </w:rPr>
    </w:lvl>
  </w:abstractNum>
  <w:num w:numId="1">
    <w:abstractNumId w:val="17"/>
  </w:num>
  <w:num w:numId="2">
    <w:abstractNumId w:val="5"/>
  </w:num>
  <w:num w:numId="3">
    <w:abstractNumId w:val="3"/>
  </w:num>
  <w:num w:numId="4">
    <w:abstractNumId w:val="15"/>
  </w:num>
  <w:num w:numId="5">
    <w:abstractNumId w:val="2"/>
  </w:num>
  <w:num w:numId="6">
    <w:abstractNumId w:val="19"/>
  </w:num>
  <w:num w:numId="7">
    <w:abstractNumId w:val="20"/>
  </w:num>
  <w:num w:numId="8">
    <w:abstractNumId w:val="0"/>
  </w:num>
  <w:num w:numId="9">
    <w:abstractNumId w:val="4"/>
  </w:num>
  <w:num w:numId="10">
    <w:abstractNumId w:val="7"/>
  </w:num>
  <w:num w:numId="11">
    <w:abstractNumId w:val="13"/>
  </w:num>
  <w:num w:numId="12">
    <w:abstractNumId w:val="23"/>
  </w:num>
  <w:num w:numId="13">
    <w:abstractNumId w:val="30"/>
  </w:num>
  <w:num w:numId="14">
    <w:abstractNumId w:val="27"/>
  </w:num>
  <w:num w:numId="15">
    <w:abstractNumId w:val="6"/>
  </w:num>
  <w:num w:numId="16">
    <w:abstractNumId w:val="29"/>
  </w:num>
  <w:num w:numId="17">
    <w:abstractNumId w:val="11"/>
  </w:num>
  <w:num w:numId="18">
    <w:abstractNumId w:val="8"/>
  </w:num>
  <w:num w:numId="19">
    <w:abstractNumId w:val="14"/>
  </w:num>
  <w:num w:numId="20">
    <w:abstractNumId w:val="12"/>
  </w:num>
  <w:num w:numId="21">
    <w:abstractNumId w:val="21"/>
  </w:num>
  <w:num w:numId="22">
    <w:abstractNumId w:val="24"/>
  </w:num>
  <w:num w:numId="23">
    <w:abstractNumId w:val="16"/>
  </w:num>
  <w:num w:numId="24">
    <w:abstractNumId w:val="26"/>
  </w:num>
  <w:num w:numId="25">
    <w:abstractNumId w:val="9"/>
  </w:num>
  <w:num w:numId="26">
    <w:abstractNumId w:val="10"/>
  </w:num>
  <w:num w:numId="27">
    <w:abstractNumId w:val="18"/>
  </w:num>
  <w:num w:numId="28">
    <w:abstractNumId w:val="1"/>
  </w:num>
  <w:num w:numId="29">
    <w:abstractNumId w:val="28"/>
  </w:num>
  <w:num w:numId="30">
    <w:abstractNumId w:val="22"/>
  </w:num>
  <w:num w:numId="31">
    <w:abstractNumId w:val="9"/>
    <w:lvlOverride w:ilvl="0">
      <w:startOverride w:val="2"/>
    </w:lvlOverride>
    <w:lvlOverride w:ilvl="1">
      <w:startOverride w:val="2"/>
    </w:lvlOverride>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C25"/>
    <w:rsid w:val="00014127"/>
    <w:rsid w:val="00032094"/>
    <w:rsid w:val="00077A07"/>
    <w:rsid w:val="00176500"/>
    <w:rsid w:val="00242F8D"/>
    <w:rsid w:val="002644A1"/>
    <w:rsid w:val="002C345A"/>
    <w:rsid w:val="003864ED"/>
    <w:rsid w:val="00646E53"/>
    <w:rsid w:val="00705AB8"/>
    <w:rsid w:val="00706C89"/>
    <w:rsid w:val="00711CC4"/>
    <w:rsid w:val="00730C4E"/>
    <w:rsid w:val="0073239D"/>
    <w:rsid w:val="0086673B"/>
    <w:rsid w:val="0095154F"/>
    <w:rsid w:val="00B67794"/>
    <w:rsid w:val="00B95C25"/>
    <w:rsid w:val="00C526F2"/>
    <w:rsid w:val="00DB02A4"/>
    <w:rsid w:val="00E10963"/>
    <w:rsid w:val="00E4706F"/>
    <w:rsid w:val="00FB35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67794"/>
    <w:pPr>
      <w:keepNext/>
      <w:keepLines/>
      <w:numPr>
        <w:numId w:val="25"/>
      </w:numPr>
      <w:spacing w:before="480" w:after="0"/>
      <w:jc w:val="both"/>
      <w:outlineLvl w:val="0"/>
    </w:pPr>
    <w:rPr>
      <w:rFonts w:ascii="Arial" w:eastAsiaTheme="majorEastAsia" w:hAnsi="Arial" w:cstheme="majorBidi"/>
      <w:b/>
      <w:bCs/>
      <w:color w:val="000000" w:themeColor="text1"/>
      <w:sz w:val="24"/>
      <w:szCs w:val="28"/>
    </w:rPr>
  </w:style>
  <w:style w:type="paragraph" w:styleId="Ttulo2">
    <w:name w:val="heading 2"/>
    <w:basedOn w:val="Normal"/>
    <w:next w:val="Normal"/>
    <w:link w:val="Ttulo2Car"/>
    <w:uiPriority w:val="9"/>
    <w:unhideWhenUsed/>
    <w:qFormat/>
    <w:rsid w:val="00B67794"/>
    <w:pPr>
      <w:keepNext/>
      <w:keepLines/>
      <w:numPr>
        <w:ilvl w:val="1"/>
        <w:numId w:val="25"/>
      </w:numPr>
      <w:spacing w:before="200" w:after="0"/>
      <w:outlineLvl w:val="1"/>
    </w:pPr>
    <w:rPr>
      <w:rFonts w:ascii="Arial" w:eastAsiaTheme="majorEastAsia" w:hAnsi="Arial" w:cstheme="majorBidi"/>
      <w:b/>
      <w:bCs/>
      <w:color w:val="000000" w:themeColor="text1"/>
      <w:sz w:val="24"/>
      <w:szCs w:val="26"/>
    </w:rPr>
  </w:style>
  <w:style w:type="paragraph" w:styleId="Ttulo3">
    <w:name w:val="heading 3"/>
    <w:basedOn w:val="Normal"/>
    <w:next w:val="Normal"/>
    <w:link w:val="Ttulo3Car"/>
    <w:uiPriority w:val="9"/>
    <w:unhideWhenUsed/>
    <w:qFormat/>
    <w:rsid w:val="00B67794"/>
    <w:pPr>
      <w:keepNext/>
      <w:keepLines/>
      <w:numPr>
        <w:ilvl w:val="2"/>
        <w:numId w:val="25"/>
      </w:numPr>
      <w:spacing w:before="200" w:after="0"/>
      <w:outlineLvl w:val="2"/>
    </w:pPr>
    <w:rPr>
      <w:rFonts w:ascii="Arial" w:eastAsiaTheme="majorEastAsia" w:hAnsi="Arial" w:cstheme="majorBidi"/>
      <w:b/>
      <w:bCs/>
      <w:color w:val="000000" w:themeColor="text1"/>
      <w:sz w:val="24"/>
    </w:rPr>
  </w:style>
  <w:style w:type="paragraph" w:styleId="Ttulo4">
    <w:name w:val="heading 4"/>
    <w:basedOn w:val="Normal"/>
    <w:next w:val="Normal"/>
    <w:link w:val="Ttulo4Car"/>
    <w:uiPriority w:val="9"/>
    <w:unhideWhenUsed/>
    <w:qFormat/>
    <w:rsid w:val="00B67794"/>
    <w:pPr>
      <w:keepNext/>
      <w:keepLines/>
      <w:numPr>
        <w:ilvl w:val="3"/>
        <w:numId w:val="25"/>
      </w:numPr>
      <w:spacing w:before="200" w:after="0"/>
      <w:jc w:val="both"/>
      <w:outlineLvl w:val="3"/>
    </w:pPr>
    <w:rPr>
      <w:rFonts w:ascii="Arial" w:eastAsiaTheme="majorEastAsia" w:hAnsi="Arial" w:cstheme="majorBidi"/>
      <w:b/>
      <w:bCs/>
      <w:iCs/>
      <w:color w:val="000000" w:themeColor="text1"/>
      <w:sz w:val="24"/>
    </w:rPr>
  </w:style>
  <w:style w:type="paragraph" w:styleId="Ttulo5">
    <w:name w:val="heading 5"/>
    <w:basedOn w:val="Normal"/>
    <w:next w:val="Normal"/>
    <w:link w:val="Ttulo5Car"/>
    <w:uiPriority w:val="9"/>
    <w:unhideWhenUsed/>
    <w:qFormat/>
    <w:rsid w:val="00B67794"/>
    <w:pPr>
      <w:keepNext/>
      <w:keepLines/>
      <w:numPr>
        <w:ilvl w:val="4"/>
        <w:numId w:val="25"/>
      </w:numPr>
      <w:spacing w:before="200" w:after="0"/>
      <w:jc w:val="both"/>
      <w:outlineLvl w:val="4"/>
    </w:pPr>
    <w:rPr>
      <w:rFonts w:ascii="Arial" w:eastAsiaTheme="majorEastAsia" w:hAnsi="Arial" w:cstheme="majorBidi"/>
      <w:b/>
      <w:color w:val="000000" w:themeColor="text1"/>
      <w:sz w:val="24"/>
    </w:rPr>
  </w:style>
  <w:style w:type="paragraph" w:styleId="Ttulo6">
    <w:name w:val="heading 6"/>
    <w:basedOn w:val="Normal"/>
    <w:next w:val="Normal"/>
    <w:link w:val="Ttulo6Car"/>
    <w:uiPriority w:val="9"/>
    <w:unhideWhenUsed/>
    <w:qFormat/>
    <w:rsid w:val="00B67794"/>
    <w:pPr>
      <w:keepNext/>
      <w:keepLines/>
      <w:numPr>
        <w:ilvl w:val="5"/>
        <w:numId w:val="25"/>
      </w:numPr>
      <w:spacing w:before="200" w:after="0"/>
      <w:jc w:val="both"/>
      <w:outlineLvl w:val="5"/>
    </w:pPr>
    <w:rPr>
      <w:rFonts w:ascii="Arial" w:eastAsiaTheme="majorEastAsia" w:hAnsi="Arial" w:cstheme="majorBidi"/>
      <w:b/>
      <w:iCs/>
      <w:color w:val="000000" w:themeColor="text1"/>
      <w:sz w:val="24"/>
    </w:rPr>
  </w:style>
  <w:style w:type="paragraph" w:styleId="Ttulo7">
    <w:name w:val="heading 7"/>
    <w:basedOn w:val="Normal"/>
    <w:next w:val="Normal"/>
    <w:link w:val="Ttulo7Car"/>
    <w:uiPriority w:val="9"/>
    <w:semiHidden/>
    <w:unhideWhenUsed/>
    <w:qFormat/>
    <w:rsid w:val="00B67794"/>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67794"/>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67794"/>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7794"/>
    <w:rPr>
      <w:rFonts w:ascii="Arial" w:eastAsiaTheme="majorEastAsia" w:hAnsi="Arial" w:cstheme="majorBidi"/>
      <w:b/>
      <w:bCs/>
      <w:color w:val="000000" w:themeColor="text1"/>
      <w:sz w:val="24"/>
      <w:szCs w:val="28"/>
    </w:rPr>
  </w:style>
  <w:style w:type="character" w:customStyle="1" w:styleId="Ttulo2Car">
    <w:name w:val="Título 2 Car"/>
    <w:basedOn w:val="Fuentedeprrafopredeter"/>
    <w:link w:val="Ttulo2"/>
    <w:uiPriority w:val="9"/>
    <w:rsid w:val="00B67794"/>
    <w:rPr>
      <w:rFonts w:ascii="Arial" w:eastAsiaTheme="majorEastAsia" w:hAnsi="Arial" w:cstheme="majorBidi"/>
      <w:b/>
      <w:bCs/>
      <w:color w:val="000000" w:themeColor="text1"/>
      <w:sz w:val="24"/>
      <w:szCs w:val="26"/>
    </w:rPr>
  </w:style>
  <w:style w:type="character" w:customStyle="1" w:styleId="Ttulo3Car">
    <w:name w:val="Título 3 Car"/>
    <w:basedOn w:val="Fuentedeprrafopredeter"/>
    <w:link w:val="Ttulo3"/>
    <w:uiPriority w:val="9"/>
    <w:rsid w:val="00B67794"/>
    <w:rPr>
      <w:rFonts w:ascii="Arial" w:eastAsiaTheme="majorEastAsia" w:hAnsi="Arial" w:cstheme="majorBidi"/>
      <w:b/>
      <w:bCs/>
      <w:color w:val="000000" w:themeColor="text1"/>
      <w:sz w:val="24"/>
    </w:rPr>
  </w:style>
  <w:style w:type="character" w:customStyle="1" w:styleId="Ttulo4Car">
    <w:name w:val="Título 4 Car"/>
    <w:basedOn w:val="Fuentedeprrafopredeter"/>
    <w:link w:val="Ttulo4"/>
    <w:uiPriority w:val="9"/>
    <w:rsid w:val="00B67794"/>
    <w:rPr>
      <w:rFonts w:ascii="Arial" w:eastAsiaTheme="majorEastAsia" w:hAnsi="Arial" w:cstheme="majorBidi"/>
      <w:b/>
      <w:bCs/>
      <w:iCs/>
      <w:color w:val="000000" w:themeColor="text1"/>
      <w:sz w:val="24"/>
    </w:rPr>
  </w:style>
  <w:style w:type="character" w:customStyle="1" w:styleId="Ttulo5Car">
    <w:name w:val="Título 5 Car"/>
    <w:basedOn w:val="Fuentedeprrafopredeter"/>
    <w:link w:val="Ttulo5"/>
    <w:uiPriority w:val="9"/>
    <w:rsid w:val="00B67794"/>
    <w:rPr>
      <w:rFonts w:ascii="Arial" w:eastAsiaTheme="majorEastAsia" w:hAnsi="Arial" w:cstheme="majorBidi"/>
      <w:b/>
      <w:color w:val="000000" w:themeColor="text1"/>
      <w:sz w:val="24"/>
    </w:rPr>
  </w:style>
  <w:style w:type="character" w:customStyle="1" w:styleId="Ttulo6Car">
    <w:name w:val="Título 6 Car"/>
    <w:basedOn w:val="Fuentedeprrafopredeter"/>
    <w:link w:val="Ttulo6"/>
    <w:uiPriority w:val="9"/>
    <w:rsid w:val="00B67794"/>
    <w:rPr>
      <w:rFonts w:ascii="Arial" w:eastAsiaTheme="majorEastAsia" w:hAnsi="Arial" w:cstheme="majorBidi"/>
      <w:b/>
      <w:iCs/>
      <w:color w:val="000000" w:themeColor="text1"/>
      <w:sz w:val="24"/>
    </w:rPr>
  </w:style>
  <w:style w:type="character" w:customStyle="1" w:styleId="Ttulo7Car">
    <w:name w:val="Título 7 Car"/>
    <w:basedOn w:val="Fuentedeprrafopredeter"/>
    <w:link w:val="Ttulo7"/>
    <w:uiPriority w:val="9"/>
    <w:semiHidden/>
    <w:rsid w:val="00B6779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6779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67794"/>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B6779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xt">
    <w:name w:val="txt"/>
    <w:basedOn w:val="Fuentedeprrafopredeter"/>
    <w:rsid w:val="00B67794"/>
  </w:style>
  <w:style w:type="character" w:styleId="Hipervnculo">
    <w:name w:val="Hyperlink"/>
    <w:basedOn w:val="Fuentedeprrafopredeter"/>
    <w:uiPriority w:val="99"/>
    <w:unhideWhenUsed/>
    <w:rsid w:val="00B67794"/>
    <w:rPr>
      <w:color w:val="0000FF"/>
      <w:u w:val="single"/>
    </w:rPr>
  </w:style>
  <w:style w:type="paragraph" w:styleId="Textodeglobo">
    <w:name w:val="Balloon Text"/>
    <w:basedOn w:val="Normal"/>
    <w:link w:val="TextodegloboCar"/>
    <w:uiPriority w:val="99"/>
    <w:semiHidden/>
    <w:unhideWhenUsed/>
    <w:rsid w:val="00B677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7794"/>
    <w:rPr>
      <w:rFonts w:ascii="Tahoma" w:hAnsi="Tahoma" w:cs="Tahoma"/>
      <w:sz w:val="16"/>
      <w:szCs w:val="16"/>
    </w:rPr>
  </w:style>
  <w:style w:type="paragraph" w:styleId="Prrafodelista">
    <w:name w:val="List Paragraph"/>
    <w:basedOn w:val="Normal"/>
    <w:uiPriority w:val="34"/>
    <w:qFormat/>
    <w:rsid w:val="00B67794"/>
    <w:pPr>
      <w:ind w:left="720"/>
      <w:contextualSpacing/>
    </w:pPr>
  </w:style>
  <w:style w:type="paragraph" w:styleId="Encabezado">
    <w:name w:val="header"/>
    <w:basedOn w:val="Normal"/>
    <w:link w:val="EncabezadoCar"/>
    <w:uiPriority w:val="99"/>
    <w:unhideWhenUsed/>
    <w:rsid w:val="00B677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7794"/>
  </w:style>
  <w:style w:type="paragraph" w:styleId="Piedepgina">
    <w:name w:val="footer"/>
    <w:basedOn w:val="Normal"/>
    <w:link w:val="PiedepginaCar"/>
    <w:uiPriority w:val="99"/>
    <w:unhideWhenUsed/>
    <w:rsid w:val="00B677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7794"/>
  </w:style>
  <w:style w:type="paragraph" w:styleId="Epgrafe">
    <w:name w:val="caption"/>
    <w:basedOn w:val="Normal"/>
    <w:next w:val="Normal"/>
    <w:uiPriority w:val="35"/>
    <w:unhideWhenUsed/>
    <w:qFormat/>
    <w:rsid w:val="00B67794"/>
    <w:pPr>
      <w:spacing w:line="240" w:lineRule="auto"/>
    </w:pPr>
    <w:rPr>
      <w:b/>
      <w:bCs/>
      <w:color w:val="4F81BD" w:themeColor="accent1"/>
      <w:sz w:val="18"/>
      <w:szCs w:val="18"/>
    </w:rPr>
  </w:style>
  <w:style w:type="table" w:styleId="Tablaconcuadrcula">
    <w:name w:val="Table Grid"/>
    <w:basedOn w:val="Tablanormal"/>
    <w:uiPriority w:val="59"/>
    <w:rsid w:val="00B6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67794"/>
    <w:pPr>
      <w:spacing w:after="0" w:line="240" w:lineRule="auto"/>
    </w:pPr>
  </w:style>
  <w:style w:type="paragraph" w:styleId="TtulodeTDC">
    <w:name w:val="TOC Heading"/>
    <w:basedOn w:val="Ttulo1"/>
    <w:next w:val="Normal"/>
    <w:uiPriority w:val="39"/>
    <w:semiHidden/>
    <w:unhideWhenUsed/>
    <w:qFormat/>
    <w:rsid w:val="00B67794"/>
    <w:pPr>
      <w:outlineLvl w:val="9"/>
    </w:pPr>
    <w:rPr>
      <w:lang w:eastAsia="es-ES"/>
    </w:rPr>
  </w:style>
  <w:style w:type="paragraph" w:styleId="TDC1">
    <w:name w:val="toc 1"/>
    <w:basedOn w:val="Normal"/>
    <w:next w:val="Normal"/>
    <w:autoRedefine/>
    <w:uiPriority w:val="39"/>
    <w:unhideWhenUsed/>
    <w:rsid w:val="00B67794"/>
    <w:pPr>
      <w:tabs>
        <w:tab w:val="left" w:pos="440"/>
        <w:tab w:val="right" w:leader="dot" w:pos="8494"/>
      </w:tabs>
      <w:spacing w:after="100"/>
      <w:jc w:val="both"/>
    </w:pPr>
    <w:rPr>
      <w:rFonts w:ascii="Arial" w:hAnsi="Arial"/>
      <w:b/>
      <w:noProof/>
      <w:sz w:val="24"/>
    </w:rPr>
  </w:style>
  <w:style w:type="paragraph" w:styleId="TDC2">
    <w:name w:val="toc 2"/>
    <w:basedOn w:val="Normal"/>
    <w:next w:val="Normal"/>
    <w:autoRedefine/>
    <w:uiPriority w:val="39"/>
    <w:unhideWhenUsed/>
    <w:rsid w:val="00B67794"/>
    <w:pPr>
      <w:spacing w:after="100"/>
      <w:ind w:left="220"/>
    </w:pPr>
  </w:style>
  <w:style w:type="paragraph" w:styleId="TDC3">
    <w:name w:val="toc 3"/>
    <w:basedOn w:val="Normal"/>
    <w:next w:val="Normal"/>
    <w:autoRedefine/>
    <w:uiPriority w:val="39"/>
    <w:unhideWhenUsed/>
    <w:rsid w:val="00B67794"/>
    <w:pPr>
      <w:tabs>
        <w:tab w:val="left" w:pos="1320"/>
        <w:tab w:val="right" w:leader="dot" w:pos="8494"/>
      </w:tabs>
      <w:spacing w:after="100"/>
      <w:ind w:left="440"/>
      <w:jc w:val="both"/>
    </w:pPr>
  </w:style>
  <w:style w:type="paragraph" w:styleId="Tabladeilustraciones">
    <w:name w:val="table of figures"/>
    <w:basedOn w:val="Normal"/>
    <w:next w:val="Normal"/>
    <w:uiPriority w:val="99"/>
    <w:unhideWhenUsed/>
    <w:rsid w:val="00B67794"/>
    <w:pPr>
      <w:spacing w:after="0"/>
    </w:pPr>
    <w:rPr>
      <w:rFonts w:ascii="Arial" w:hAnsi="Arial"/>
      <w:sz w:val="24"/>
    </w:rPr>
  </w:style>
  <w:style w:type="paragraph" w:customStyle="1" w:styleId="AB630D60F59F403CB531B268FE76FA17">
    <w:name w:val="AB630D60F59F403CB531B268FE76FA17"/>
    <w:rsid w:val="00B67794"/>
    <w:rPr>
      <w:rFonts w:eastAsiaTheme="minorEastAsia"/>
      <w:lang w:eastAsia="es-ES"/>
    </w:rPr>
  </w:style>
  <w:style w:type="table" w:styleId="Sombreadomedio1-nfasis3">
    <w:name w:val="Medium Shading 1 Accent 3"/>
    <w:basedOn w:val="Tablanormal"/>
    <w:uiPriority w:val="63"/>
    <w:rsid w:val="00B6779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67794"/>
    <w:pPr>
      <w:keepNext/>
      <w:keepLines/>
      <w:numPr>
        <w:numId w:val="25"/>
      </w:numPr>
      <w:spacing w:before="480" w:after="0"/>
      <w:jc w:val="both"/>
      <w:outlineLvl w:val="0"/>
    </w:pPr>
    <w:rPr>
      <w:rFonts w:ascii="Arial" w:eastAsiaTheme="majorEastAsia" w:hAnsi="Arial" w:cstheme="majorBidi"/>
      <w:b/>
      <w:bCs/>
      <w:color w:val="000000" w:themeColor="text1"/>
      <w:sz w:val="24"/>
      <w:szCs w:val="28"/>
    </w:rPr>
  </w:style>
  <w:style w:type="paragraph" w:styleId="Ttulo2">
    <w:name w:val="heading 2"/>
    <w:basedOn w:val="Normal"/>
    <w:next w:val="Normal"/>
    <w:link w:val="Ttulo2Car"/>
    <w:uiPriority w:val="9"/>
    <w:unhideWhenUsed/>
    <w:qFormat/>
    <w:rsid w:val="00B67794"/>
    <w:pPr>
      <w:keepNext/>
      <w:keepLines/>
      <w:numPr>
        <w:ilvl w:val="1"/>
        <w:numId w:val="25"/>
      </w:numPr>
      <w:spacing w:before="200" w:after="0"/>
      <w:outlineLvl w:val="1"/>
    </w:pPr>
    <w:rPr>
      <w:rFonts w:ascii="Arial" w:eastAsiaTheme="majorEastAsia" w:hAnsi="Arial" w:cstheme="majorBidi"/>
      <w:b/>
      <w:bCs/>
      <w:color w:val="000000" w:themeColor="text1"/>
      <w:sz w:val="24"/>
      <w:szCs w:val="26"/>
    </w:rPr>
  </w:style>
  <w:style w:type="paragraph" w:styleId="Ttulo3">
    <w:name w:val="heading 3"/>
    <w:basedOn w:val="Normal"/>
    <w:next w:val="Normal"/>
    <w:link w:val="Ttulo3Car"/>
    <w:uiPriority w:val="9"/>
    <w:unhideWhenUsed/>
    <w:qFormat/>
    <w:rsid w:val="00B67794"/>
    <w:pPr>
      <w:keepNext/>
      <w:keepLines/>
      <w:numPr>
        <w:ilvl w:val="2"/>
        <w:numId w:val="25"/>
      </w:numPr>
      <w:spacing w:before="200" w:after="0"/>
      <w:outlineLvl w:val="2"/>
    </w:pPr>
    <w:rPr>
      <w:rFonts w:ascii="Arial" w:eastAsiaTheme="majorEastAsia" w:hAnsi="Arial" w:cstheme="majorBidi"/>
      <w:b/>
      <w:bCs/>
      <w:color w:val="000000" w:themeColor="text1"/>
      <w:sz w:val="24"/>
    </w:rPr>
  </w:style>
  <w:style w:type="paragraph" w:styleId="Ttulo4">
    <w:name w:val="heading 4"/>
    <w:basedOn w:val="Normal"/>
    <w:next w:val="Normal"/>
    <w:link w:val="Ttulo4Car"/>
    <w:uiPriority w:val="9"/>
    <w:unhideWhenUsed/>
    <w:qFormat/>
    <w:rsid w:val="00B67794"/>
    <w:pPr>
      <w:keepNext/>
      <w:keepLines/>
      <w:numPr>
        <w:ilvl w:val="3"/>
        <w:numId w:val="25"/>
      </w:numPr>
      <w:spacing w:before="200" w:after="0"/>
      <w:jc w:val="both"/>
      <w:outlineLvl w:val="3"/>
    </w:pPr>
    <w:rPr>
      <w:rFonts w:ascii="Arial" w:eastAsiaTheme="majorEastAsia" w:hAnsi="Arial" w:cstheme="majorBidi"/>
      <w:b/>
      <w:bCs/>
      <w:iCs/>
      <w:color w:val="000000" w:themeColor="text1"/>
      <w:sz w:val="24"/>
    </w:rPr>
  </w:style>
  <w:style w:type="paragraph" w:styleId="Ttulo5">
    <w:name w:val="heading 5"/>
    <w:basedOn w:val="Normal"/>
    <w:next w:val="Normal"/>
    <w:link w:val="Ttulo5Car"/>
    <w:uiPriority w:val="9"/>
    <w:unhideWhenUsed/>
    <w:qFormat/>
    <w:rsid w:val="00B67794"/>
    <w:pPr>
      <w:keepNext/>
      <w:keepLines/>
      <w:numPr>
        <w:ilvl w:val="4"/>
        <w:numId w:val="25"/>
      </w:numPr>
      <w:spacing w:before="200" w:after="0"/>
      <w:jc w:val="both"/>
      <w:outlineLvl w:val="4"/>
    </w:pPr>
    <w:rPr>
      <w:rFonts w:ascii="Arial" w:eastAsiaTheme="majorEastAsia" w:hAnsi="Arial" w:cstheme="majorBidi"/>
      <w:b/>
      <w:color w:val="000000" w:themeColor="text1"/>
      <w:sz w:val="24"/>
    </w:rPr>
  </w:style>
  <w:style w:type="paragraph" w:styleId="Ttulo6">
    <w:name w:val="heading 6"/>
    <w:basedOn w:val="Normal"/>
    <w:next w:val="Normal"/>
    <w:link w:val="Ttulo6Car"/>
    <w:uiPriority w:val="9"/>
    <w:unhideWhenUsed/>
    <w:qFormat/>
    <w:rsid w:val="00B67794"/>
    <w:pPr>
      <w:keepNext/>
      <w:keepLines/>
      <w:numPr>
        <w:ilvl w:val="5"/>
        <w:numId w:val="25"/>
      </w:numPr>
      <w:spacing w:before="200" w:after="0"/>
      <w:jc w:val="both"/>
      <w:outlineLvl w:val="5"/>
    </w:pPr>
    <w:rPr>
      <w:rFonts w:ascii="Arial" w:eastAsiaTheme="majorEastAsia" w:hAnsi="Arial" w:cstheme="majorBidi"/>
      <w:b/>
      <w:iCs/>
      <w:color w:val="000000" w:themeColor="text1"/>
      <w:sz w:val="24"/>
    </w:rPr>
  </w:style>
  <w:style w:type="paragraph" w:styleId="Ttulo7">
    <w:name w:val="heading 7"/>
    <w:basedOn w:val="Normal"/>
    <w:next w:val="Normal"/>
    <w:link w:val="Ttulo7Car"/>
    <w:uiPriority w:val="9"/>
    <w:semiHidden/>
    <w:unhideWhenUsed/>
    <w:qFormat/>
    <w:rsid w:val="00B67794"/>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67794"/>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67794"/>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7794"/>
    <w:rPr>
      <w:rFonts w:ascii="Arial" w:eastAsiaTheme="majorEastAsia" w:hAnsi="Arial" w:cstheme="majorBidi"/>
      <w:b/>
      <w:bCs/>
      <w:color w:val="000000" w:themeColor="text1"/>
      <w:sz w:val="24"/>
      <w:szCs w:val="28"/>
    </w:rPr>
  </w:style>
  <w:style w:type="character" w:customStyle="1" w:styleId="Ttulo2Car">
    <w:name w:val="Título 2 Car"/>
    <w:basedOn w:val="Fuentedeprrafopredeter"/>
    <w:link w:val="Ttulo2"/>
    <w:uiPriority w:val="9"/>
    <w:rsid w:val="00B67794"/>
    <w:rPr>
      <w:rFonts w:ascii="Arial" w:eastAsiaTheme="majorEastAsia" w:hAnsi="Arial" w:cstheme="majorBidi"/>
      <w:b/>
      <w:bCs/>
      <w:color w:val="000000" w:themeColor="text1"/>
      <w:sz w:val="24"/>
      <w:szCs w:val="26"/>
    </w:rPr>
  </w:style>
  <w:style w:type="character" w:customStyle="1" w:styleId="Ttulo3Car">
    <w:name w:val="Título 3 Car"/>
    <w:basedOn w:val="Fuentedeprrafopredeter"/>
    <w:link w:val="Ttulo3"/>
    <w:uiPriority w:val="9"/>
    <w:rsid w:val="00B67794"/>
    <w:rPr>
      <w:rFonts w:ascii="Arial" w:eastAsiaTheme="majorEastAsia" w:hAnsi="Arial" w:cstheme="majorBidi"/>
      <w:b/>
      <w:bCs/>
      <w:color w:val="000000" w:themeColor="text1"/>
      <w:sz w:val="24"/>
    </w:rPr>
  </w:style>
  <w:style w:type="character" w:customStyle="1" w:styleId="Ttulo4Car">
    <w:name w:val="Título 4 Car"/>
    <w:basedOn w:val="Fuentedeprrafopredeter"/>
    <w:link w:val="Ttulo4"/>
    <w:uiPriority w:val="9"/>
    <w:rsid w:val="00B67794"/>
    <w:rPr>
      <w:rFonts w:ascii="Arial" w:eastAsiaTheme="majorEastAsia" w:hAnsi="Arial" w:cstheme="majorBidi"/>
      <w:b/>
      <w:bCs/>
      <w:iCs/>
      <w:color w:val="000000" w:themeColor="text1"/>
      <w:sz w:val="24"/>
    </w:rPr>
  </w:style>
  <w:style w:type="character" w:customStyle="1" w:styleId="Ttulo5Car">
    <w:name w:val="Título 5 Car"/>
    <w:basedOn w:val="Fuentedeprrafopredeter"/>
    <w:link w:val="Ttulo5"/>
    <w:uiPriority w:val="9"/>
    <w:rsid w:val="00B67794"/>
    <w:rPr>
      <w:rFonts w:ascii="Arial" w:eastAsiaTheme="majorEastAsia" w:hAnsi="Arial" w:cstheme="majorBidi"/>
      <w:b/>
      <w:color w:val="000000" w:themeColor="text1"/>
      <w:sz w:val="24"/>
    </w:rPr>
  </w:style>
  <w:style w:type="character" w:customStyle="1" w:styleId="Ttulo6Car">
    <w:name w:val="Título 6 Car"/>
    <w:basedOn w:val="Fuentedeprrafopredeter"/>
    <w:link w:val="Ttulo6"/>
    <w:uiPriority w:val="9"/>
    <w:rsid w:val="00B67794"/>
    <w:rPr>
      <w:rFonts w:ascii="Arial" w:eastAsiaTheme="majorEastAsia" w:hAnsi="Arial" w:cstheme="majorBidi"/>
      <w:b/>
      <w:iCs/>
      <w:color w:val="000000" w:themeColor="text1"/>
      <w:sz w:val="24"/>
    </w:rPr>
  </w:style>
  <w:style w:type="character" w:customStyle="1" w:styleId="Ttulo7Car">
    <w:name w:val="Título 7 Car"/>
    <w:basedOn w:val="Fuentedeprrafopredeter"/>
    <w:link w:val="Ttulo7"/>
    <w:uiPriority w:val="9"/>
    <w:semiHidden/>
    <w:rsid w:val="00B6779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6779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67794"/>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B6779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xt">
    <w:name w:val="txt"/>
    <w:basedOn w:val="Fuentedeprrafopredeter"/>
    <w:rsid w:val="00B67794"/>
  </w:style>
  <w:style w:type="character" w:styleId="Hipervnculo">
    <w:name w:val="Hyperlink"/>
    <w:basedOn w:val="Fuentedeprrafopredeter"/>
    <w:uiPriority w:val="99"/>
    <w:unhideWhenUsed/>
    <w:rsid w:val="00B67794"/>
    <w:rPr>
      <w:color w:val="0000FF"/>
      <w:u w:val="single"/>
    </w:rPr>
  </w:style>
  <w:style w:type="paragraph" w:styleId="Textodeglobo">
    <w:name w:val="Balloon Text"/>
    <w:basedOn w:val="Normal"/>
    <w:link w:val="TextodegloboCar"/>
    <w:uiPriority w:val="99"/>
    <w:semiHidden/>
    <w:unhideWhenUsed/>
    <w:rsid w:val="00B677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7794"/>
    <w:rPr>
      <w:rFonts w:ascii="Tahoma" w:hAnsi="Tahoma" w:cs="Tahoma"/>
      <w:sz w:val="16"/>
      <w:szCs w:val="16"/>
    </w:rPr>
  </w:style>
  <w:style w:type="paragraph" w:styleId="Prrafodelista">
    <w:name w:val="List Paragraph"/>
    <w:basedOn w:val="Normal"/>
    <w:uiPriority w:val="34"/>
    <w:qFormat/>
    <w:rsid w:val="00B67794"/>
    <w:pPr>
      <w:ind w:left="720"/>
      <w:contextualSpacing/>
    </w:pPr>
  </w:style>
  <w:style w:type="paragraph" w:styleId="Encabezado">
    <w:name w:val="header"/>
    <w:basedOn w:val="Normal"/>
    <w:link w:val="EncabezadoCar"/>
    <w:uiPriority w:val="99"/>
    <w:unhideWhenUsed/>
    <w:rsid w:val="00B677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7794"/>
  </w:style>
  <w:style w:type="paragraph" w:styleId="Piedepgina">
    <w:name w:val="footer"/>
    <w:basedOn w:val="Normal"/>
    <w:link w:val="PiedepginaCar"/>
    <w:uiPriority w:val="99"/>
    <w:unhideWhenUsed/>
    <w:rsid w:val="00B677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7794"/>
  </w:style>
  <w:style w:type="paragraph" w:styleId="Epgrafe">
    <w:name w:val="caption"/>
    <w:basedOn w:val="Normal"/>
    <w:next w:val="Normal"/>
    <w:uiPriority w:val="35"/>
    <w:unhideWhenUsed/>
    <w:qFormat/>
    <w:rsid w:val="00B67794"/>
    <w:pPr>
      <w:spacing w:line="240" w:lineRule="auto"/>
    </w:pPr>
    <w:rPr>
      <w:b/>
      <w:bCs/>
      <w:color w:val="4F81BD" w:themeColor="accent1"/>
      <w:sz w:val="18"/>
      <w:szCs w:val="18"/>
    </w:rPr>
  </w:style>
  <w:style w:type="table" w:styleId="Tablaconcuadrcula">
    <w:name w:val="Table Grid"/>
    <w:basedOn w:val="Tablanormal"/>
    <w:uiPriority w:val="59"/>
    <w:rsid w:val="00B6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67794"/>
    <w:pPr>
      <w:spacing w:after="0" w:line="240" w:lineRule="auto"/>
    </w:pPr>
  </w:style>
  <w:style w:type="paragraph" w:styleId="TtulodeTDC">
    <w:name w:val="TOC Heading"/>
    <w:basedOn w:val="Ttulo1"/>
    <w:next w:val="Normal"/>
    <w:uiPriority w:val="39"/>
    <w:semiHidden/>
    <w:unhideWhenUsed/>
    <w:qFormat/>
    <w:rsid w:val="00B67794"/>
    <w:pPr>
      <w:outlineLvl w:val="9"/>
    </w:pPr>
    <w:rPr>
      <w:lang w:eastAsia="es-ES"/>
    </w:rPr>
  </w:style>
  <w:style w:type="paragraph" w:styleId="TDC1">
    <w:name w:val="toc 1"/>
    <w:basedOn w:val="Normal"/>
    <w:next w:val="Normal"/>
    <w:autoRedefine/>
    <w:uiPriority w:val="39"/>
    <w:unhideWhenUsed/>
    <w:rsid w:val="00B67794"/>
    <w:pPr>
      <w:tabs>
        <w:tab w:val="left" w:pos="440"/>
        <w:tab w:val="right" w:leader="dot" w:pos="8494"/>
      </w:tabs>
      <w:spacing w:after="100"/>
      <w:jc w:val="both"/>
    </w:pPr>
    <w:rPr>
      <w:rFonts w:ascii="Arial" w:hAnsi="Arial"/>
      <w:b/>
      <w:noProof/>
      <w:sz w:val="24"/>
    </w:rPr>
  </w:style>
  <w:style w:type="paragraph" w:styleId="TDC2">
    <w:name w:val="toc 2"/>
    <w:basedOn w:val="Normal"/>
    <w:next w:val="Normal"/>
    <w:autoRedefine/>
    <w:uiPriority w:val="39"/>
    <w:unhideWhenUsed/>
    <w:rsid w:val="00B67794"/>
    <w:pPr>
      <w:spacing w:after="100"/>
      <w:ind w:left="220"/>
    </w:pPr>
  </w:style>
  <w:style w:type="paragraph" w:styleId="TDC3">
    <w:name w:val="toc 3"/>
    <w:basedOn w:val="Normal"/>
    <w:next w:val="Normal"/>
    <w:autoRedefine/>
    <w:uiPriority w:val="39"/>
    <w:unhideWhenUsed/>
    <w:rsid w:val="00B67794"/>
    <w:pPr>
      <w:tabs>
        <w:tab w:val="left" w:pos="1320"/>
        <w:tab w:val="right" w:leader="dot" w:pos="8494"/>
      </w:tabs>
      <w:spacing w:after="100"/>
      <w:ind w:left="440"/>
      <w:jc w:val="both"/>
    </w:pPr>
  </w:style>
  <w:style w:type="paragraph" w:styleId="Tabladeilustraciones">
    <w:name w:val="table of figures"/>
    <w:basedOn w:val="Normal"/>
    <w:next w:val="Normal"/>
    <w:uiPriority w:val="99"/>
    <w:unhideWhenUsed/>
    <w:rsid w:val="00B67794"/>
    <w:pPr>
      <w:spacing w:after="0"/>
    </w:pPr>
    <w:rPr>
      <w:rFonts w:ascii="Arial" w:hAnsi="Arial"/>
      <w:sz w:val="24"/>
    </w:rPr>
  </w:style>
  <w:style w:type="paragraph" w:customStyle="1" w:styleId="AB630D60F59F403CB531B268FE76FA17">
    <w:name w:val="AB630D60F59F403CB531B268FE76FA17"/>
    <w:rsid w:val="00B67794"/>
    <w:rPr>
      <w:rFonts w:eastAsiaTheme="minorEastAsia"/>
      <w:lang w:eastAsia="es-ES"/>
    </w:rPr>
  </w:style>
  <w:style w:type="table" w:styleId="Sombreadomedio1-nfasis3">
    <w:name w:val="Medium Shading 1 Accent 3"/>
    <w:basedOn w:val="Tablanormal"/>
    <w:uiPriority w:val="63"/>
    <w:rsid w:val="00B6779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3" Type="http://schemas.microsoft.com/office/2007/relationships/stylesWithEffects" Target="stylesWithEffect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5.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9.xml"/><Relationship Id="rId23"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Hoja1!$J$2</c:f>
              <c:strCache>
                <c:ptCount val="1"/>
                <c:pt idx="0">
                  <c:v>TEMPERATURA MAXIMA</c:v>
                </c:pt>
              </c:strCache>
            </c:strRef>
          </c:tx>
          <c:marker>
            <c:symbol val="none"/>
          </c:marker>
          <c:cat>
            <c:strRef>
              <c:f>Hoja1!$I$3:$I$154</c:f>
              <c:strCache>
                <c:ptCount val="135"/>
                <c:pt idx="0">
                  <c:v>OCTUBRE </c:v>
                </c:pt>
                <c:pt idx="31">
                  <c:v>NOVIEMBRE </c:v>
                </c:pt>
                <c:pt idx="61">
                  <c:v>DICEMBRE</c:v>
                </c:pt>
                <c:pt idx="92">
                  <c:v>ENERO</c:v>
                </c:pt>
                <c:pt idx="115">
                  <c:v>FEBRERO</c:v>
                </c:pt>
                <c:pt idx="134">
                  <c:v>MARZO</c:v>
                </c:pt>
              </c:strCache>
            </c:strRef>
          </c:cat>
          <c:val>
            <c:numRef>
              <c:f>Hoja1!$J$3:$J$154</c:f>
              <c:numCache>
                <c:formatCode>General</c:formatCode>
                <c:ptCount val="152"/>
                <c:pt idx="0">
                  <c:v>19.399999999999999</c:v>
                </c:pt>
                <c:pt idx="1">
                  <c:v>15.8</c:v>
                </c:pt>
                <c:pt idx="2">
                  <c:v>17</c:v>
                </c:pt>
                <c:pt idx="3">
                  <c:v>13.4</c:v>
                </c:pt>
                <c:pt idx="4">
                  <c:v>12.4</c:v>
                </c:pt>
                <c:pt idx="5">
                  <c:v>15.3</c:v>
                </c:pt>
                <c:pt idx="6">
                  <c:v>14.5</c:v>
                </c:pt>
                <c:pt idx="7">
                  <c:v>15.5</c:v>
                </c:pt>
                <c:pt idx="8">
                  <c:v>17.600000000000001</c:v>
                </c:pt>
                <c:pt idx="9">
                  <c:v>16.8</c:v>
                </c:pt>
                <c:pt idx="10">
                  <c:v>11</c:v>
                </c:pt>
                <c:pt idx="11">
                  <c:v>10.5</c:v>
                </c:pt>
                <c:pt idx="12">
                  <c:v>14.2</c:v>
                </c:pt>
                <c:pt idx="13">
                  <c:v>14.6</c:v>
                </c:pt>
                <c:pt idx="14">
                  <c:v>12.2</c:v>
                </c:pt>
                <c:pt idx="15">
                  <c:v>16.5</c:v>
                </c:pt>
                <c:pt idx="16">
                  <c:v>12.8</c:v>
                </c:pt>
                <c:pt idx="17">
                  <c:v>14.6</c:v>
                </c:pt>
                <c:pt idx="18">
                  <c:v>14.6</c:v>
                </c:pt>
                <c:pt idx="19">
                  <c:v>14.6</c:v>
                </c:pt>
                <c:pt idx="20">
                  <c:v>15.8</c:v>
                </c:pt>
                <c:pt idx="21">
                  <c:v>15.4</c:v>
                </c:pt>
                <c:pt idx="22">
                  <c:v>15.9</c:v>
                </c:pt>
                <c:pt idx="23">
                  <c:v>12.2</c:v>
                </c:pt>
                <c:pt idx="24">
                  <c:v>12.2</c:v>
                </c:pt>
                <c:pt idx="25">
                  <c:v>14</c:v>
                </c:pt>
                <c:pt idx="26">
                  <c:v>15.2</c:v>
                </c:pt>
                <c:pt idx="27">
                  <c:v>17.399999999999999</c:v>
                </c:pt>
                <c:pt idx="28">
                  <c:v>17.2</c:v>
                </c:pt>
                <c:pt idx="29">
                  <c:v>17.399999999999999</c:v>
                </c:pt>
                <c:pt idx="30">
                  <c:v>16.600000000000001</c:v>
                </c:pt>
                <c:pt idx="31">
                  <c:v>15.8</c:v>
                </c:pt>
                <c:pt idx="32">
                  <c:v>18.600000000000001</c:v>
                </c:pt>
                <c:pt idx="33">
                  <c:v>17.399999999999999</c:v>
                </c:pt>
                <c:pt idx="34">
                  <c:v>15.1</c:v>
                </c:pt>
                <c:pt idx="35">
                  <c:v>17.399999999999999</c:v>
                </c:pt>
                <c:pt idx="36">
                  <c:v>15.7</c:v>
                </c:pt>
                <c:pt idx="37">
                  <c:v>13</c:v>
                </c:pt>
                <c:pt idx="38">
                  <c:v>17.3</c:v>
                </c:pt>
                <c:pt idx="39">
                  <c:v>19.399999999999999</c:v>
                </c:pt>
                <c:pt idx="40">
                  <c:v>19</c:v>
                </c:pt>
                <c:pt idx="41">
                  <c:v>20</c:v>
                </c:pt>
                <c:pt idx="42">
                  <c:v>15.4</c:v>
                </c:pt>
                <c:pt idx="43">
                  <c:v>20.399999999999999</c:v>
                </c:pt>
                <c:pt idx="44">
                  <c:v>19.600000000000001</c:v>
                </c:pt>
                <c:pt idx="45">
                  <c:v>17.600000000000001</c:v>
                </c:pt>
                <c:pt idx="46">
                  <c:v>15.3</c:v>
                </c:pt>
                <c:pt idx="47">
                  <c:v>19</c:v>
                </c:pt>
                <c:pt idx="48">
                  <c:v>18.399999999999999</c:v>
                </c:pt>
                <c:pt idx="49">
                  <c:v>15.8</c:v>
                </c:pt>
                <c:pt idx="50">
                  <c:v>19.8</c:v>
                </c:pt>
                <c:pt idx="51">
                  <c:v>18</c:v>
                </c:pt>
                <c:pt idx="52">
                  <c:v>19.399999999999999</c:v>
                </c:pt>
                <c:pt idx="53">
                  <c:v>19.899999999999999</c:v>
                </c:pt>
                <c:pt idx="54">
                  <c:v>19</c:v>
                </c:pt>
                <c:pt idx="55">
                  <c:v>18</c:v>
                </c:pt>
                <c:pt idx="56">
                  <c:v>16.399999999999999</c:v>
                </c:pt>
                <c:pt idx="57">
                  <c:v>13.4</c:v>
                </c:pt>
                <c:pt idx="58">
                  <c:v>13.3</c:v>
                </c:pt>
                <c:pt idx="59">
                  <c:v>18.2</c:v>
                </c:pt>
                <c:pt idx="60">
                  <c:v>17.2</c:v>
                </c:pt>
                <c:pt idx="61">
                  <c:v>17.2</c:v>
                </c:pt>
                <c:pt idx="62">
                  <c:v>18</c:v>
                </c:pt>
                <c:pt idx="63">
                  <c:v>26.5</c:v>
                </c:pt>
                <c:pt idx="64">
                  <c:v>16.600000000000001</c:v>
                </c:pt>
                <c:pt idx="65">
                  <c:v>18.7</c:v>
                </c:pt>
                <c:pt idx="66">
                  <c:v>20.399999999999999</c:v>
                </c:pt>
                <c:pt idx="67">
                  <c:v>20</c:v>
                </c:pt>
                <c:pt idx="68">
                  <c:v>18.899999999999999</c:v>
                </c:pt>
                <c:pt idx="69">
                  <c:v>21.4</c:v>
                </c:pt>
                <c:pt idx="70">
                  <c:v>21.2</c:v>
                </c:pt>
                <c:pt idx="71">
                  <c:v>20.5</c:v>
                </c:pt>
                <c:pt idx="72">
                  <c:v>21.6</c:v>
                </c:pt>
                <c:pt idx="73">
                  <c:v>21.8</c:v>
                </c:pt>
                <c:pt idx="74">
                  <c:v>20.100000000000001</c:v>
                </c:pt>
                <c:pt idx="75">
                  <c:v>17.899999999999999</c:v>
                </c:pt>
                <c:pt idx="76">
                  <c:v>14.5</c:v>
                </c:pt>
                <c:pt idx="77">
                  <c:v>14.2</c:v>
                </c:pt>
                <c:pt idx="78">
                  <c:v>16.100000000000001</c:v>
                </c:pt>
                <c:pt idx="79">
                  <c:v>17</c:v>
                </c:pt>
                <c:pt idx="80">
                  <c:v>16.8</c:v>
                </c:pt>
                <c:pt idx="81">
                  <c:v>19.3</c:v>
                </c:pt>
                <c:pt idx="82">
                  <c:v>18.2</c:v>
                </c:pt>
                <c:pt idx="83">
                  <c:v>20.2</c:v>
                </c:pt>
                <c:pt idx="84">
                  <c:v>18.899999999999999</c:v>
                </c:pt>
                <c:pt idx="85">
                  <c:v>18.5</c:v>
                </c:pt>
                <c:pt idx="86">
                  <c:v>16.7</c:v>
                </c:pt>
                <c:pt idx="87">
                  <c:v>15.3</c:v>
                </c:pt>
                <c:pt idx="88">
                  <c:v>14.9</c:v>
                </c:pt>
                <c:pt idx="89">
                  <c:v>16.8</c:v>
                </c:pt>
                <c:pt idx="90">
                  <c:v>14.8</c:v>
                </c:pt>
                <c:pt idx="91">
                  <c:v>18.899999999999999</c:v>
                </c:pt>
                <c:pt idx="92">
                  <c:v>24</c:v>
                </c:pt>
                <c:pt idx="93">
                  <c:v>21</c:v>
                </c:pt>
                <c:pt idx="94">
                  <c:v>13</c:v>
                </c:pt>
                <c:pt idx="95">
                  <c:v>21</c:v>
                </c:pt>
                <c:pt idx="96">
                  <c:v>21</c:v>
                </c:pt>
                <c:pt idx="97">
                  <c:v>28</c:v>
                </c:pt>
                <c:pt idx="98">
                  <c:v>21</c:v>
                </c:pt>
                <c:pt idx="99">
                  <c:v>21</c:v>
                </c:pt>
                <c:pt idx="100">
                  <c:v>19</c:v>
                </c:pt>
                <c:pt idx="101">
                  <c:v>21</c:v>
                </c:pt>
                <c:pt idx="102">
                  <c:v>20</c:v>
                </c:pt>
                <c:pt idx="103">
                  <c:v>23</c:v>
                </c:pt>
                <c:pt idx="104">
                  <c:v>21</c:v>
                </c:pt>
                <c:pt idx="105">
                  <c:v>24</c:v>
                </c:pt>
                <c:pt idx="106">
                  <c:v>24</c:v>
                </c:pt>
                <c:pt idx="107">
                  <c:v>22</c:v>
                </c:pt>
                <c:pt idx="108">
                  <c:v>20</c:v>
                </c:pt>
                <c:pt idx="109">
                  <c:v>24</c:v>
                </c:pt>
                <c:pt idx="110">
                  <c:v>23</c:v>
                </c:pt>
                <c:pt idx="111">
                  <c:v>24</c:v>
                </c:pt>
                <c:pt idx="112">
                  <c:v>22</c:v>
                </c:pt>
                <c:pt idx="113">
                  <c:v>24</c:v>
                </c:pt>
                <c:pt idx="114">
                  <c:v>25</c:v>
                </c:pt>
                <c:pt idx="115">
                  <c:v>24</c:v>
                </c:pt>
                <c:pt idx="116">
                  <c:v>20</c:v>
                </c:pt>
                <c:pt idx="117">
                  <c:v>20</c:v>
                </c:pt>
                <c:pt idx="118">
                  <c:v>24</c:v>
                </c:pt>
                <c:pt idx="119">
                  <c:v>25</c:v>
                </c:pt>
                <c:pt idx="120">
                  <c:v>20</c:v>
                </c:pt>
                <c:pt idx="121">
                  <c:v>30</c:v>
                </c:pt>
                <c:pt idx="122">
                  <c:v>23</c:v>
                </c:pt>
                <c:pt idx="123">
                  <c:v>24</c:v>
                </c:pt>
                <c:pt idx="124">
                  <c:v>30</c:v>
                </c:pt>
                <c:pt idx="125">
                  <c:v>28</c:v>
                </c:pt>
                <c:pt idx="126">
                  <c:v>32</c:v>
                </c:pt>
                <c:pt idx="127">
                  <c:v>31</c:v>
                </c:pt>
                <c:pt idx="128">
                  <c:v>24</c:v>
                </c:pt>
                <c:pt idx="129">
                  <c:v>31</c:v>
                </c:pt>
                <c:pt idx="130">
                  <c:v>33</c:v>
                </c:pt>
                <c:pt idx="131">
                  <c:v>35</c:v>
                </c:pt>
                <c:pt idx="132">
                  <c:v>24</c:v>
                </c:pt>
                <c:pt idx="133">
                  <c:v>30</c:v>
                </c:pt>
                <c:pt idx="134">
                  <c:v>28</c:v>
                </c:pt>
                <c:pt idx="135">
                  <c:v>23</c:v>
                </c:pt>
                <c:pt idx="136">
                  <c:v>23</c:v>
                </c:pt>
                <c:pt idx="137">
                  <c:v>22</c:v>
                </c:pt>
                <c:pt idx="138">
                  <c:v>22</c:v>
                </c:pt>
                <c:pt idx="139">
                  <c:v>20</c:v>
                </c:pt>
                <c:pt idx="140">
                  <c:v>22</c:v>
                </c:pt>
                <c:pt idx="141">
                  <c:v>20</c:v>
                </c:pt>
                <c:pt idx="142">
                  <c:v>25.5</c:v>
                </c:pt>
                <c:pt idx="143">
                  <c:v>19</c:v>
                </c:pt>
                <c:pt idx="144">
                  <c:v>21</c:v>
                </c:pt>
                <c:pt idx="145">
                  <c:v>23</c:v>
                </c:pt>
                <c:pt idx="146">
                  <c:v>21</c:v>
                </c:pt>
                <c:pt idx="147">
                  <c:v>25</c:v>
                </c:pt>
                <c:pt idx="148">
                  <c:v>33</c:v>
                </c:pt>
                <c:pt idx="149">
                  <c:v>20</c:v>
                </c:pt>
                <c:pt idx="150">
                  <c:v>21</c:v>
                </c:pt>
                <c:pt idx="151">
                  <c:v>22</c:v>
                </c:pt>
              </c:numCache>
            </c:numRef>
          </c:val>
          <c:smooth val="0"/>
        </c:ser>
        <c:ser>
          <c:idx val="1"/>
          <c:order val="1"/>
          <c:tx>
            <c:strRef>
              <c:f>Hoja1!$K$2</c:f>
              <c:strCache>
                <c:ptCount val="1"/>
                <c:pt idx="0">
                  <c:v>TEMPERATURA MINIMA</c:v>
                </c:pt>
              </c:strCache>
            </c:strRef>
          </c:tx>
          <c:marker>
            <c:symbol val="none"/>
          </c:marker>
          <c:cat>
            <c:strRef>
              <c:f>Hoja1!$I$3:$I$154</c:f>
              <c:strCache>
                <c:ptCount val="135"/>
                <c:pt idx="0">
                  <c:v>OCTUBRE </c:v>
                </c:pt>
                <c:pt idx="31">
                  <c:v>NOVIEMBRE </c:v>
                </c:pt>
                <c:pt idx="61">
                  <c:v>DICEMBRE</c:v>
                </c:pt>
                <c:pt idx="92">
                  <c:v>ENERO</c:v>
                </c:pt>
                <c:pt idx="115">
                  <c:v>FEBRERO</c:v>
                </c:pt>
                <c:pt idx="134">
                  <c:v>MARZO</c:v>
                </c:pt>
              </c:strCache>
            </c:strRef>
          </c:cat>
          <c:val>
            <c:numRef>
              <c:f>Hoja1!$K$3:$K$154</c:f>
              <c:numCache>
                <c:formatCode>General</c:formatCode>
                <c:ptCount val="152"/>
                <c:pt idx="0">
                  <c:v>-1.8</c:v>
                </c:pt>
                <c:pt idx="1">
                  <c:v>0.6</c:v>
                </c:pt>
                <c:pt idx="2">
                  <c:v>0.4</c:v>
                </c:pt>
                <c:pt idx="3">
                  <c:v>2.2000000000000002</c:v>
                </c:pt>
                <c:pt idx="4">
                  <c:v>2</c:v>
                </c:pt>
                <c:pt idx="5">
                  <c:v>1.4</c:v>
                </c:pt>
                <c:pt idx="6">
                  <c:v>3.4</c:v>
                </c:pt>
                <c:pt idx="7">
                  <c:v>4</c:v>
                </c:pt>
                <c:pt idx="8">
                  <c:v>-1.3</c:v>
                </c:pt>
                <c:pt idx="9">
                  <c:v>0.2</c:v>
                </c:pt>
                <c:pt idx="10">
                  <c:v>2.5</c:v>
                </c:pt>
                <c:pt idx="11">
                  <c:v>3.5</c:v>
                </c:pt>
                <c:pt idx="12">
                  <c:v>3.8</c:v>
                </c:pt>
                <c:pt idx="13">
                  <c:v>1.2</c:v>
                </c:pt>
                <c:pt idx="14">
                  <c:v>4.2</c:v>
                </c:pt>
                <c:pt idx="15">
                  <c:v>3.4</c:v>
                </c:pt>
                <c:pt idx="16">
                  <c:v>3.6</c:v>
                </c:pt>
                <c:pt idx="17">
                  <c:v>1</c:v>
                </c:pt>
                <c:pt idx="18">
                  <c:v>4</c:v>
                </c:pt>
                <c:pt idx="19">
                  <c:v>3.04</c:v>
                </c:pt>
                <c:pt idx="20">
                  <c:v>4</c:v>
                </c:pt>
                <c:pt idx="21">
                  <c:v>3.2</c:v>
                </c:pt>
                <c:pt idx="22">
                  <c:v>5.4</c:v>
                </c:pt>
                <c:pt idx="23">
                  <c:v>5.2</c:v>
                </c:pt>
                <c:pt idx="24">
                  <c:v>5</c:v>
                </c:pt>
                <c:pt idx="25">
                  <c:v>4.9000000000000004</c:v>
                </c:pt>
                <c:pt idx="26">
                  <c:v>4.4000000000000004</c:v>
                </c:pt>
                <c:pt idx="27">
                  <c:v>2.5</c:v>
                </c:pt>
                <c:pt idx="28">
                  <c:v>3.2</c:v>
                </c:pt>
                <c:pt idx="29">
                  <c:v>1.4</c:v>
                </c:pt>
                <c:pt idx="30">
                  <c:v>3.4</c:v>
                </c:pt>
                <c:pt idx="31">
                  <c:v>4.8</c:v>
                </c:pt>
                <c:pt idx="32">
                  <c:v>2.4</c:v>
                </c:pt>
                <c:pt idx="33">
                  <c:v>3</c:v>
                </c:pt>
                <c:pt idx="34">
                  <c:v>5.8</c:v>
                </c:pt>
                <c:pt idx="35">
                  <c:v>5.7</c:v>
                </c:pt>
                <c:pt idx="36">
                  <c:v>3.2</c:v>
                </c:pt>
                <c:pt idx="37">
                  <c:v>4.8</c:v>
                </c:pt>
                <c:pt idx="38">
                  <c:v>4.5</c:v>
                </c:pt>
                <c:pt idx="39">
                  <c:v>4.5999999999999996</c:v>
                </c:pt>
                <c:pt idx="40">
                  <c:v>3.1</c:v>
                </c:pt>
                <c:pt idx="41">
                  <c:v>2.2000000000000002</c:v>
                </c:pt>
                <c:pt idx="42">
                  <c:v>1.8</c:v>
                </c:pt>
                <c:pt idx="43">
                  <c:v>2.2999999999999998</c:v>
                </c:pt>
                <c:pt idx="44">
                  <c:v>3.7</c:v>
                </c:pt>
                <c:pt idx="45">
                  <c:v>4.5999999999999996</c:v>
                </c:pt>
                <c:pt idx="46">
                  <c:v>2.2000000000000002</c:v>
                </c:pt>
                <c:pt idx="47">
                  <c:v>2.4</c:v>
                </c:pt>
                <c:pt idx="48">
                  <c:v>2.8</c:v>
                </c:pt>
                <c:pt idx="49">
                  <c:v>4</c:v>
                </c:pt>
                <c:pt idx="50">
                  <c:v>2.6</c:v>
                </c:pt>
                <c:pt idx="51">
                  <c:v>4</c:v>
                </c:pt>
                <c:pt idx="52">
                  <c:v>3.7</c:v>
                </c:pt>
                <c:pt idx="53">
                  <c:v>1.7</c:v>
                </c:pt>
                <c:pt idx="54">
                  <c:v>4.0999999999999996</c:v>
                </c:pt>
                <c:pt idx="55">
                  <c:v>2.6</c:v>
                </c:pt>
                <c:pt idx="56">
                  <c:v>3.2</c:v>
                </c:pt>
                <c:pt idx="57">
                  <c:v>5.7</c:v>
                </c:pt>
                <c:pt idx="58">
                  <c:v>5</c:v>
                </c:pt>
                <c:pt idx="59">
                  <c:v>4.8</c:v>
                </c:pt>
                <c:pt idx="60">
                  <c:v>1.7</c:v>
                </c:pt>
                <c:pt idx="61">
                  <c:v>-9.6999999999999993</c:v>
                </c:pt>
                <c:pt idx="62">
                  <c:v>-6</c:v>
                </c:pt>
                <c:pt idx="63">
                  <c:v>-6</c:v>
                </c:pt>
                <c:pt idx="64">
                  <c:v>-9</c:v>
                </c:pt>
                <c:pt idx="65">
                  <c:v>-10.3</c:v>
                </c:pt>
                <c:pt idx="66">
                  <c:v>-7.3</c:v>
                </c:pt>
                <c:pt idx="67">
                  <c:v>-5.3</c:v>
                </c:pt>
                <c:pt idx="68">
                  <c:v>-0.4</c:v>
                </c:pt>
                <c:pt idx="69">
                  <c:v>-2.7</c:v>
                </c:pt>
                <c:pt idx="70">
                  <c:v>-0.1</c:v>
                </c:pt>
                <c:pt idx="71">
                  <c:v>1.2</c:v>
                </c:pt>
                <c:pt idx="72">
                  <c:v>0.3</c:v>
                </c:pt>
                <c:pt idx="73">
                  <c:v>-1</c:v>
                </c:pt>
                <c:pt idx="74">
                  <c:v>-2.8</c:v>
                </c:pt>
                <c:pt idx="75">
                  <c:v>1.8</c:v>
                </c:pt>
                <c:pt idx="76">
                  <c:v>2</c:v>
                </c:pt>
                <c:pt idx="77">
                  <c:v>4.9000000000000004</c:v>
                </c:pt>
                <c:pt idx="78">
                  <c:v>1.8</c:v>
                </c:pt>
                <c:pt idx="79">
                  <c:v>1.3</c:v>
                </c:pt>
                <c:pt idx="80">
                  <c:v>-0.4</c:v>
                </c:pt>
                <c:pt idx="81">
                  <c:v>1.1000000000000001</c:v>
                </c:pt>
                <c:pt idx="82">
                  <c:v>0.6</c:v>
                </c:pt>
                <c:pt idx="83">
                  <c:v>1.7</c:v>
                </c:pt>
                <c:pt idx="84">
                  <c:v>1.1000000000000001</c:v>
                </c:pt>
                <c:pt idx="85">
                  <c:v>0.6</c:v>
                </c:pt>
                <c:pt idx="86">
                  <c:v>2.8</c:v>
                </c:pt>
                <c:pt idx="87">
                  <c:v>4.4000000000000004</c:v>
                </c:pt>
                <c:pt idx="88">
                  <c:v>5</c:v>
                </c:pt>
                <c:pt idx="89">
                  <c:v>1.6</c:v>
                </c:pt>
                <c:pt idx="90">
                  <c:v>5.4</c:v>
                </c:pt>
                <c:pt idx="91">
                  <c:v>2.5</c:v>
                </c:pt>
                <c:pt idx="92">
                  <c:v>4</c:v>
                </c:pt>
                <c:pt idx="93">
                  <c:v>6</c:v>
                </c:pt>
                <c:pt idx="94">
                  <c:v>6</c:v>
                </c:pt>
                <c:pt idx="95">
                  <c:v>7</c:v>
                </c:pt>
                <c:pt idx="96">
                  <c:v>8</c:v>
                </c:pt>
                <c:pt idx="97">
                  <c:v>4</c:v>
                </c:pt>
                <c:pt idx="98">
                  <c:v>3</c:v>
                </c:pt>
                <c:pt idx="99">
                  <c:v>4</c:v>
                </c:pt>
                <c:pt idx="100">
                  <c:v>4</c:v>
                </c:pt>
                <c:pt idx="101">
                  <c:v>5</c:v>
                </c:pt>
                <c:pt idx="102">
                  <c:v>4</c:v>
                </c:pt>
                <c:pt idx="103">
                  <c:v>5</c:v>
                </c:pt>
                <c:pt idx="104">
                  <c:v>6</c:v>
                </c:pt>
                <c:pt idx="105">
                  <c:v>1</c:v>
                </c:pt>
                <c:pt idx="106">
                  <c:v>7</c:v>
                </c:pt>
                <c:pt idx="107">
                  <c:v>2</c:v>
                </c:pt>
                <c:pt idx="108">
                  <c:v>0</c:v>
                </c:pt>
                <c:pt idx="109">
                  <c:v>1</c:v>
                </c:pt>
                <c:pt idx="110">
                  <c:v>3</c:v>
                </c:pt>
                <c:pt idx="111">
                  <c:v>1</c:v>
                </c:pt>
                <c:pt idx="112">
                  <c:v>2</c:v>
                </c:pt>
                <c:pt idx="113">
                  <c:v>4</c:v>
                </c:pt>
                <c:pt idx="114">
                  <c:v>3</c:v>
                </c:pt>
                <c:pt idx="115">
                  <c:v>3</c:v>
                </c:pt>
                <c:pt idx="116">
                  <c:v>4</c:v>
                </c:pt>
                <c:pt idx="117">
                  <c:v>1</c:v>
                </c:pt>
                <c:pt idx="118">
                  <c:v>2</c:v>
                </c:pt>
                <c:pt idx="119">
                  <c:v>-2</c:v>
                </c:pt>
                <c:pt idx="120">
                  <c:v>2</c:v>
                </c:pt>
                <c:pt idx="121">
                  <c:v>0</c:v>
                </c:pt>
                <c:pt idx="122">
                  <c:v>3</c:v>
                </c:pt>
                <c:pt idx="123">
                  <c:v>2</c:v>
                </c:pt>
                <c:pt idx="124">
                  <c:v>2</c:v>
                </c:pt>
                <c:pt idx="125">
                  <c:v>3</c:v>
                </c:pt>
                <c:pt idx="126">
                  <c:v>2</c:v>
                </c:pt>
                <c:pt idx="127">
                  <c:v>2</c:v>
                </c:pt>
                <c:pt idx="128">
                  <c:v>3</c:v>
                </c:pt>
                <c:pt idx="129">
                  <c:v>1</c:v>
                </c:pt>
                <c:pt idx="130">
                  <c:v>1</c:v>
                </c:pt>
                <c:pt idx="131">
                  <c:v>6</c:v>
                </c:pt>
                <c:pt idx="132">
                  <c:v>1</c:v>
                </c:pt>
                <c:pt idx="133">
                  <c:v>2</c:v>
                </c:pt>
                <c:pt idx="134">
                  <c:v>3</c:v>
                </c:pt>
                <c:pt idx="135">
                  <c:v>0</c:v>
                </c:pt>
                <c:pt idx="136">
                  <c:v>-3</c:v>
                </c:pt>
                <c:pt idx="137">
                  <c:v>0</c:v>
                </c:pt>
                <c:pt idx="138">
                  <c:v>0</c:v>
                </c:pt>
                <c:pt idx="139">
                  <c:v>0</c:v>
                </c:pt>
                <c:pt idx="140">
                  <c:v>3</c:v>
                </c:pt>
                <c:pt idx="141">
                  <c:v>2</c:v>
                </c:pt>
                <c:pt idx="142">
                  <c:v>2.2999999999999998</c:v>
                </c:pt>
                <c:pt idx="143">
                  <c:v>0</c:v>
                </c:pt>
                <c:pt idx="144">
                  <c:v>2.5</c:v>
                </c:pt>
                <c:pt idx="145">
                  <c:v>2.5</c:v>
                </c:pt>
                <c:pt idx="146">
                  <c:v>1.5</c:v>
                </c:pt>
                <c:pt idx="147">
                  <c:v>2</c:v>
                </c:pt>
                <c:pt idx="148">
                  <c:v>-2</c:v>
                </c:pt>
                <c:pt idx="149">
                  <c:v>3</c:v>
                </c:pt>
                <c:pt idx="150">
                  <c:v>5</c:v>
                </c:pt>
                <c:pt idx="151">
                  <c:v>0</c:v>
                </c:pt>
              </c:numCache>
            </c:numRef>
          </c:val>
          <c:smooth val="0"/>
        </c:ser>
        <c:dLbls>
          <c:showLegendKey val="0"/>
          <c:showVal val="0"/>
          <c:showCatName val="0"/>
          <c:showSerName val="0"/>
          <c:showPercent val="0"/>
          <c:showBubbleSize val="0"/>
        </c:dLbls>
        <c:marker val="1"/>
        <c:smooth val="0"/>
        <c:axId val="301874176"/>
        <c:axId val="295199872"/>
      </c:lineChart>
      <c:catAx>
        <c:axId val="301874176"/>
        <c:scaling>
          <c:orientation val="minMax"/>
        </c:scaling>
        <c:delete val="0"/>
        <c:axPos val="b"/>
        <c:title>
          <c:tx>
            <c:rich>
              <a:bodyPr/>
              <a:lstStyle/>
              <a:p>
                <a:pPr>
                  <a:defRPr sz="1200"/>
                </a:pPr>
                <a:r>
                  <a:rPr lang="es-ES" sz="1200"/>
                  <a:t>TIEMPO (MESES)</a:t>
                </a:r>
              </a:p>
            </c:rich>
          </c:tx>
          <c:layout/>
          <c:overlay val="0"/>
        </c:title>
        <c:majorTickMark val="none"/>
        <c:minorTickMark val="none"/>
        <c:tickLblPos val="nextTo"/>
        <c:txPr>
          <a:bodyPr rot="-5400000" vert="horz"/>
          <a:lstStyle/>
          <a:p>
            <a:pPr>
              <a:defRPr sz="1100"/>
            </a:pPr>
            <a:endParaRPr lang="es-ES"/>
          </a:p>
        </c:txPr>
        <c:crossAx val="295199872"/>
        <c:crosses val="autoZero"/>
        <c:auto val="1"/>
        <c:lblAlgn val="ctr"/>
        <c:lblOffset val="100"/>
        <c:noMultiLvlLbl val="0"/>
      </c:catAx>
      <c:valAx>
        <c:axId val="295199872"/>
        <c:scaling>
          <c:orientation val="minMax"/>
        </c:scaling>
        <c:delete val="0"/>
        <c:axPos val="l"/>
        <c:majorGridlines/>
        <c:title>
          <c:tx>
            <c:rich>
              <a:bodyPr/>
              <a:lstStyle/>
              <a:p>
                <a:pPr>
                  <a:defRPr sz="1200"/>
                </a:pPr>
                <a:r>
                  <a:rPr lang="es-ES" sz="1200"/>
                  <a:t>TEMPERATURA (ºC)</a:t>
                </a:r>
              </a:p>
            </c:rich>
          </c:tx>
          <c:layout/>
          <c:overlay val="0"/>
        </c:title>
        <c:numFmt formatCode="General" sourceLinked="1"/>
        <c:majorTickMark val="none"/>
        <c:minorTickMark val="none"/>
        <c:tickLblPos val="nextTo"/>
        <c:crossAx val="301874176"/>
        <c:crosses val="autoZero"/>
        <c:crossBetween val="between"/>
      </c:valAx>
    </c:plotArea>
    <c:legend>
      <c:legendPos val="r"/>
      <c:layout/>
      <c:overlay val="0"/>
    </c:legend>
    <c:plotVisOnly val="1"/>
    <c:dispBlanksAs val="gap"/>
    <c:showDLblsOverMax val="0"/>
  </c:chart>
  <c:txPr>
    <a:bodyPr/>
    <a:lstStyle/>
    <a:p>
      <a:pPr algn="just">
        <a:defRPr>
          <a:latin typeface="Arial" panose="020B0604020202020204" pitchFamily="34" charset="0"/>
          <a:cs typeface="Arial" panose="020B0604020202020204" pitchFamily="34" charset="0"/>
        </a:defRPr>
      </a:pPr>
      <a:endParaRPr lang="es-E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Hoja13!$N$17</c:f>
              <c:strCache>
                <c:ptCount val="1"/>
                <c:pt idx="0">
                  <c:v>Porcentaje de la enfermedad (%)</c:v>
                </c:pt>
              </c:strCache>
            </c:strRef>
          </c:tx>
          <c:spPr>
            <a:solidFill>
              <a:schemeClr val="accent3">
                <a:lumMod val="40000"/>
                <a:lumOff val="60000"/>
              </a:schemeClr>
            </a:solidFill>
          </c:spPr>
          <c:invertIfNegative val="0"/>
          <c:dLbls>
            <c:spPr>
              <a:solidFill>
                <a:schemeClr val="accent3">
                  <a:lumMod val="20000"/>
                  <a:lumOff val="80000"/>
                </a:schemeClr>
              </a:solidFill>
            </c:spPr>
            <c:txPr>
              <a:bodyPr/>
              <a:lstStyle/>
              <a:p>
                <a:pPr>
                  <a:defRPr sz="1100"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dLbls>
          <c:cat>
            <c:strRef>
              <c:f>Hoja13!$M$18:$M$21</c:f>
              <c:strCache>
                <c:ptCount val="4"/>
                <c:pt idx="0">
                  <c:v>TESTIGO</c:v>
                </c:pt>
                <c:pt idx="1">
                  <c:v>T1 (G-7)</c:v>
                </c:pt>
                <c:pt idx="2">
                  <c:v>T2 (G-10)</c:v>
                </c:pt>
                <c:pt idx="3">
                  <c:v>T3 (G-15)</c:v>
                </c:pt>
              </c:strCache>
            </c:strRef>
          </c:cat>
          <c:val>
            <c:numRef>
              <c:f>Hoja13!$N$18:$N$21</c:f>
              <c:numCache>
                <c:formatCode>0.00</c:formatCode>
                <c:ptCount val="4"/>
                <c:pt idx="0">
                  <c:v>14.31</c:v>
                </c:pt>
                <c:pt idx="1">
                  <c:v>4.91</c:v>
                </c:pt>
                <c:pt idx="2">
                  <c:v>5.44</c:v>
                </c:pt>
                <c:pt idx="3">
                  <c:v>7.44</c:v>
                </c:pt>
              </c:numCache>
            </c:numRef>
          </c:val>
        </c:ser>
        <c:dLbls>
          <c:showLegendKey val="0"/>
          <c:showVal val="0"/>
          <c:showCatName val="0"/>
          <c:showSerName val="0"/>
          <c:showPercent val="0"/>
          <c:showBubbleSize val="0"/>
        </c:dLbls>
        <c:gapWidth val="150"/>
        <c:shape val="box"/>
        <c:axId val="305503232"/>
        <c:axId val="305640576"/>
        <c:axId val="0"/>
      </c:bar3DChart>
      <c:catAx>
        <c:axId val="305503232"/>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TRATAMIENTOS </a:t>
                </a:r>
              </a:p>
            </c:rich>
          </c:tx>
          <c:layout/>
          <c:overlay val="0"/>
        </c:title>
        <c:majorTickMark val="out"/>
        <c:minorTickMark val="none"/>
        <c:tickLblPos val="nextTo"/>
        <c:txPr>
          <a:bodyPr/>
          <a:lstStyle/>
          <a:p>
            <a:pPr>
              <a:defRPr sz="1050" b="0">
                <a:latin typeface="Arial" panose="020B0604020202020204" pitchFamily="34" charset="0"/>
                <a:cs typeface="Arial" panose="020B0604020202020204" pitchFamily="34" charset="0"/>
              </a:defRPr>
            </a:pPr>
            <a:endParaRPr lang="es-ES"/>
          </a:p>
        </c:txPr>
        <c:crossAx val="305640576"/>
        <c:crosses val="autoZero"/>
        <c:auto val="1"/>
        <c:lblAlgn val="ctr"/>
        <c:lblOffset val="100"/>
        <c:noMultiLvlLbl val="0"/>
      </c:catAx>
      <c:valAx>
        <c:axId val="305640576"/>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PORCENTAJE DE SEVERIDAD (%)</a:t>
                </a:r>
              </a:p>
            </c:rich>
          </c:tx>
          <c:layout/>
          <c:overlay val="0"/>
        </c:title>
        <c:numFmt formatCode="0.00" sourceLinked="1"/>
        <c:majorTickMark val="out"/>
        <c:minorTickMark val="none"/>
        <c:tickLblPos val="nextTo"/>
        <c:crossAx val="305503232"/>
        <c:crosses val="autoZero"/>
        <c:crossBetween val="between"/>
      </c:valAx>
    </c:plotArea>
    <c:plotVisOnly val="1"/>
    <c:dispBlanksAs val="gap"/>
    <c:showDLblsOverMax val="0"/>
  </c:chart>
  <c:spPr>
    <a:gradFill>
      <a:gsLst>
        <a:gs pos="74000">
          <a:schemeClr val="accent4">
            <a:lumMod val="40000"/>
            <a:lumOff val="60000"/>
            <a:alpha val="95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Hoja14!$K$17</c:f>
              <c:strCache>
                <c:ptCount val="1"/>
                <c:pt idx="0">
                  <c:v>Porcentaje de la enfermedad (%)</c:v>
                </c:pt>
              </c:strCache>
            </c:strRef>
          </c:tx>
          <c:invertIfNegative val="0"/>
          <c:dLbls>
            <c:spPr>
              <a:solidFill>
                <a:schemeClr val="accent6">
                  <a:lumMod val="20000"/>
                  <a:lumOff val="80000"/>
                </a:schemeClr>
              </a:solidFill>
            </c:spPr>
            <c:txPr>
              <a:bodyPr/>
              <a:lstStyle/>
              <a:p>
                <a:pPr>
                  <a:defRPr sz="1100"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dLbls>
          <c:cat>
            <c:strRef>
              <c:f>Hoja14!$J$18:$J$21</c:f>
              <c:strCache>
                <c:ptCount val="4"/>
                <c:pt idx="0">
                  <c:v>TESTIGO</c:v>
                </c:pt>
                <c:pt idx="1">
                  <c:v>T3 (G-15)</c:v>
                </c:pt>
                <c:pt idx="2">
                  <c:v>T1 (G-7)</c:v>
                </c:pt>
                <c:pt idx="3">
                  <c:v>T2 (G-10)</c:v>
                </c:pt>
              </c:strCache>
            </c:strRef>
          </c:cat>
          <c:val>
            <c:numRef>
              <c:f>Hoja14!$K$18:$K$21</c:f>
              <c:numCache>
                <c:formatCode>0.00</c:formatCode>
                <c:ptCount val="4"/>
                <c:pt idx="0">
                  <c:v>4.57</c:v>
                </c:pt>
                <c:pt idx="1">
                  <c:v>2.4700000000000002</c:v>
                </c:pt>
                <c:pt idx="2">
                  <c:v>1.64</c:v>
                </c:pt>
                <c:pt idx="3">
                  <c:v>0.98</c:v>
                </c:pt>
              </c:numCache>
            </c:numRef>
          </c:val>
        </c:ser>
        <c:dLbls>
          <c:showLegendKey val="0"/>
          <c:showVal val="0"/>
          <c:showCatName val="0"/>
          <c:showSerName val="0"/>
          <c:showPercent val="0"/>
          <c:showBubbleSize val="0"/>
        </c:dLbls>
        <c:gapWidth val="150"/>
        <c:shape val="box"/>
        <c:axId val="305622400"/>
        <c:axId val="306447872"/>
        <c:axId val="0"/>
      </c:bar3DChart>
      <c:catAx>
        <c:axId val="305622400"/>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TRATAMIENTOS</a:t>
                </a:r>
              </a:p>
            </c:rich>
          </c:tx>
          <c:layout/>
          <c:overlay val="0"/>
        </c:title>
        <c:majorTickMark val="out"/>
        <c:minorTickMark val="none"/>
        <c:tickLblPos val="nextTo"/>
        <c:txPr>
          <a:bodyPr/>
          <a:lstStyle/>
          <a:p>
            <a:pPr>
              <a:defRPr sz="1100" b="0">
                <a:latin typeface="Arial" panose="020B0604020202020204" pitchFamily="34" charset="0"/>
                <a:cs typeface="Arial" panose="020B0604020202020204" pitchFamily="34" charset="0"/>
              </a:defRPr>
            </a:pPr>
            <a:endParaRPr lang="es-ES"/>
          </a:p>
        </c:txPr>
        <c:crossAx val="306447872"/>
        <c:crosses val="autoZero"/>
        <c:auto val="1"/>
        <c:lblAlgn val="ctr"/>
        <c:lblOffset val="100"/>
        <c:noMultiLvlLbl val="0"/>
      </c:catAx>
      <c:valAx>
        <c:axId val="306447872"/>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PORCENTAJE DE SEVERIDAD (%)</a:t>
                </a:r>
              </a:p>
            </c:rich>
          </c:tx>
          <c:layout/>
          <c:overlay val="0"/>
        </c:title>
        <c:numFmt formatCode="0.00" sourceLinked="1"/>
        <c:majorTickMark val="out"/>
        <c:minorTickMark val="none"/>
        <c:tickLblPos val="nextTo"/>
        <c:crossAx val="305622400"/>
        <c:crosses val="autoZero"/>
        <c:crossBetween val="between"/>
      </c:valAx>
    </c:plotArea>
    <c:plotVisOnly val="1"/>
    <c:dispBlanksAs val="gap"/>
    <c:showDLblsOverMax val="0"/>
  </c:chart>
  <c:spPr>
    <a:gradFill>
      <a:gsLst>
        <a:gs pos="74000">
          <a:schemeClr val="accent4">
            <a:lumMod val="40000"/>
            <a:lumOff val="60000"/>
            <a:alpha val="95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Hoja15!$M$17</c:f>
              <c:strCache>
                <c:ptCount val="1"/>
                <c:pt idx="0">
                  <c:v>Porcentaje de la enfermedad (%)</c:v>
                </c:pt>
              </c:strCache>
            </c:strRef>
          </c:tx>
          <c:spPr>
            <a:solidFill>
              <a:schemeClr val="accent2">
                <a:lumMod val="60000"/>
                <a:lumOff val="40000"/>
              </a:schemeClr>
            </a:solidFill>
          </c:spPr>
          <c:invertIfNegative val="0"/>
          <c:dLbls>
            <c:spPr>
              <a:solidFill>
                <a:schemeClr val="accent2">
                  <a:lumMod val="20000"/>
                  <a:lumOff val="80000"/>
                </a:schemeClr>
              </a:solidFill>
            </c:spPr>
            <c:txPr>
              <a:bodyPr/>
              <a:lstStyle/>
              <a:p>
                <a:pPr>
                  <a:defRPr sz="1100"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dLbls>
          <c:cat>
            <c:strRef>
              <c:f>Hoja15!$L$18:$L$21</c:f>
              <c:strCache>
                <c:ptCount val="4"/>
                <c:pt idx="0">
                  <c:v>TESTIGO</c:v>
                </c:pt>
                <c:pt idx="1">
                  <c:v>T3 (G-15)</c:v>
                </c:pt>
                <c:pt idx="2">
                  <c:v>T1 (G-7)</c:v>
                </c:pt>
                <c:pt idx="3">
                  <c:v>T2 (G-10)</c:v>
                </c:pt>
              </c:strCache>
            </c:strRef>
          </c:cat>
          <c:val>
            <c:numRef>
              <c:f>Hoja15!$M$18:$M$21</c:f>
              <c:numCache>
                <c:formatCode>0.00</c:formatCode>
                <c:ptCount val="4"/>
                <c:pt idx="0">
                  <c:v>17.96</c:v>
                </c:pt>
                <c:pt idx="1">
                  <c:v>7.89</c:v>
                </c:pt>
                <c:pt idx="2">
                  <c:v>7.01</c:v>
                </c:pt>
                <c:pt idx="3">
                  <c:v>5.26</c:v>
                </c:pt>
              </c:numCache>
            </c:numRef>
          </c:val>
        </c:ser>
        <c:dLbls>
          <c:showLegendKey val="0"/>
          <c:showVal val="0"/>
          <c:showCatName val="0"/>
          <c:showSerName val="0"/>
          <c:showPercent val="0"/>
          <c:showBubbleSize val="0"/>
        </c:dLbls>
        <c:gapWidth val="150"/>
        <c:shape val="box"/>
        <c:axId val="306486656"/>
        <c:axId val="306492928"/>
        <c:axId val="0"/>
      </c:bar3DChart>
      <c:catAx>
        <c:axId val="306486656"/>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TRATAMIENTOS </a:t>
                </a:r>
              </a:p>
            </c:rich>
          </c:tx>
          <c:layout/>
          <c:overlay val="0"/>
        </c:title>
        <c:majorTickMark val="out"/>
        <c:minorTickMark val="none"/>
        <c:tickLblPos val="nextTo"/>
        <c:txPr>
          <a:bodyPr/>
          <a:lstStyle/>
          <a:p>
            <a:pPr>
              <a:defRPr sz="1100" b="0">
                <a:latin typeface="Arial" panose="020B0604020202020204" pitchFamily="34" charset="0"/>
                <a:cs typeface="Arial" panose="020B0604020202020204" pitchFamily="34" charset="0"/>
              </a:defRPr>
            </a:pPr>
            <a:endParaRPr lang="es-ES"/>
          </a:p>
        </c:txPr>
        <c:crossAx val="306492928"/>
        <c:crosses val="autoZero"/>
        <c:auto val="1"/>
        <c:lblAlgn val="ctr"/>
        <c:lblOffset val="100"/>
        <c:noMultiLvlLbl val="0"/>
      </c:catAx>
      <c:valAx>
        <c:axId val="306492928"/>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PORCENTAJE DE SEVERIDAD(%)</a:t>
                </a:r>
              </a:p>
            </c:rich>
          </c:tx>
          <c:layout/>
          <c:overlay val="0"/>
        </c:title>
        <c:numFmt formatCode="0.00" sourceLinked="1"/>
        <c:majorTickMark val="out"/>
        <c:minorTickMark val="none"/>
        <c:tickLblPos val="nextTo"/>
        <c:crossAx val="306486656"/>
        <c:crosses val="autoZero"/>
        <c:crossBetween val="between"/>
      </c:valAx>
    </c:plotArea>
    <c:plotVisOnly val="1"/>
    <c:dispBlanksAs val="gap"/>
    <c:showDLblsOverMax val="0"/>
  </c:chart>
  <c:spPr>
    <a:solidFill>
      <a:schemeClr val="accent2">
        <a:lumMod val="20000"/>
        <a:lumOff val="80000"/>
      </a:schemeClr>
    </a:solidFill>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Hoja16!$M$17</c:f>
              <c:strCache>
                <c:ptCount val="1"/>
                <c:pt idx="0">
                  <c:v>Porcentaje de la enfermedad (%)</c:v>
                </c:pt>
              </c:strCache>
            </c:strRef>
          </c:tx>
          <c:spPr>
            <a:solidFill>
              <a:schemeClr val="accent3">
                <a:lumMod val="60000"/>
                <a:lumOff val="40000"/>
              </a:schemeClr>
            </a:solidFill>
          </c:spPr>
          <c:invertIfNegative val="0"/>
          <c:dLbls>
            <c:spPr>
              <a:solidFill>
                <a:schemeClr val="accent3">
                  <a:lumMod val="20000"/>
                  <a:lumOff val="80000"/>
                </a:schemeClr>
              </a:solidFill>
            </c:spPr>
            <c:txPr>
              <a:bodyPr/>
              <a:lstStyle/>
              <a:p>
                <a:pPr>
                  <a:defRPr sz="1100"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dLbls>
          <c:cat>
            <c:strRef>
              <c:f>Hoja16!$L$18:$L$21</c:f>
              <c:strCache>
                <c:ptCount val="4"/>
                <c:pt idx="0">
                  <c:v>TESTIGO</c:v>
                </c:pt>
                <c:pt idx="1">
                  <c:v>T3 (G-15)</c:v>
                </c:pt>
                <c:pt idx="2">
                  <c:v>T1 (G-7)</c:v>
                </c:pt>
                <c:pt idx="3">
                  <c:v>T2 (G-10)</c:v>
                </c:pt>
              </c:strCache>
            </c:strRef>
          </c:cat>
          <c:val>
            <c:numRef>
              <c:f>Hoja16!$M$18:$M$21</c:f>
              <c:numCache>
                <c:formatCode>0.00</c:formatCode>
                <c:ptCount val="4"/>
                <c:pt idx="0">
                  <c:v>24.38</c:v>
                </c:pt>
                <c:pt idx="1">
                  <c:v>13.55</c:v>
                </c:pt>
                <c:pt idx="2">
                  <c:v>12.99</c:v>
                </c:pt>
                <c:pt idx="3">
                  <c:v>11.4</c:v>
                </c:pt>
              </c:numCache>
            </c:numRef>
          </c:val>
        </c:ser>
        <c:dLbls>
          <c:showLegendKey val="0"/>
          <c:showVal val="0"/>
          <c:showCatName val="0"/>
          <c:showSerName val="0"/>
          <c:showPercent val="0"/>
          <c:showBubbleSize val="0"/>
        </c:dLbls>
        <c:gapWidth val="150"/>
        <c:shape val="box"/>
        <c:axId val="306720128"/>
        <c:axId val="306763264"/>
        <c:axId val="0"/>
      </c:bar3DChart>
      <c:catAx>
        <c:axId val="306720128"/>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TRATAMIENTOS </a:t>
                </a:r>
              </a:p>
            </c:rich>
          </c:tx>
          <c:layout/>
          <c:overlay val="0"/>
        </c:title>
        <c:majorTickMark val="out"/>
        <c:minorTickMark val="none"/>
        <c:tickLblPos val="nextTo"/>
        <c:txPr>
          <a:bodyPr/>
          <a:lstStyle/>
          <a:p>
            <a:pPr>
              <a:defRPr sz="1100" b="0">
                <a:latin typeface="Arial" panose="020B0604020202020204" pitchFamily="34" charset="0"/>
                <a:cs typeface="Arial" panose="020B0604020202020204" pitchFamily="34" charset="0"/>
              </a:defRPr>
            </a:pPr>
            <a:endParaRPr lang="es-ES"/>
          </a:p>
        </c:txPr>
        <c:crossAx val="306763264"/>
        <c:crosses val="autoZero"/>
        <c:auto val="1"/>
        <c:lblAlgn val="ctr"/>
        <c:lblOffset val="100"/>
        <c:noMultiLvlLbl val="0"/>
      </c:catAx>
      <c:valAx>
        <c:axId val="306763264"/>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PORCENTAJE</a:t>
                </a:r>
                <a:r>
                  <a:rPr lang="es-ES" sz="1100" baseline="0">
                    <a:latin typeface="Arial" panose="020B0604020202020204" pitchFamily="34" charset="0"/>
                    <a:cs typeface="Arial" panose="020B0604020202020204" pitchFamily="34" charset="0"/>
                  </a:rPr>
                  <a:t> DE SEVERIDAD (%)</a:t>
                </a:r>
                <a:endParaRPr lang="es-ES" sz="1100">
                  <a:latin typeface="Arial" panose="020B0604020202020204" pitchFamily="34" charset="0"/>
                  <a:cs typeface="Arial" panose="020B0604020202020204" pitchFamily="34" charset="0"/>
                </a:endParaRPr>
              </a:p>
            </c:rich>
          </c:tx>
          <c:layout/>
          <c:overlay val="0"/>
        </c:title>
        <c:numFmt formatCode="0.00" sourceLinked="1"/>
        <c:majorTickMark val="out"/>
        <c:minorTickMark val="none"/>
        <c:tickLblPos val="nextTo"/>
        <c:crossAx val="306720128"/>
        <c:crosses val="autoZero"/>
        <c:crossBetween val="between"/>
      </c:valAx>
    </c:plotArea>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Hoja17!$M$19</c:f>
              <c:strCache>
                <c:ptCount val="1"/>
                <c:pt idx="0">
                  <c:v>Porcentaje de la enfermedad (%)</c:v>
                </c:pt>
              </c:strCache>
            </c:strRef>
          </c:tx>
          <c:invertIfNegative val="0"/>
          <c:dLbls>
            <c:spPr>
              <a:solidFill>
                <a:schemeClr val="accent1">
                  <a:lumMod val="20000"/>
                  <a:lumOff val="80000"/>
                </a:schemeClr>
              </a:solidFill>
            </c:spPr>
            <c:txPr>
              <a:bodyPr/>
              <a:lstStyle/>
              <a:p>
                <a:pPr>
                  <a:defRPr sz="1100"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dLbls>
          <c:cat>
            <c:strRef>
              <c:f>Hoja17!$L$20:$L$23</c:f>
              <c:strCache>
                <c:ptCount val="4"/>
                <c:pt idx="0">
                  <c:v>TESTIGO</c:v>
                </c:pt>
                <c:pt idx="1">
                  <c:v>T3 (G-15)</c:v>
                </c:pt>
                <c:pt idx="2">
                  <c:v>T1 (G-7)</c:v>
                </c:pt>
                <c:pt idx="3">
                  <c:v>T2 (G-10)</c:v>
                </c:pt>
              </c:strCache>
            </c:strRef>
          </c:cat>
          <c:val>
            <c:numRef>
              <c:f>Hoja17!$M$20:$M$23</c:f>
              <c:numCache>
                <c:formatCode>0.00</c:formatCode>
                <c:ptCount val="4"/>
                <c:pt idx="0">
                  <c:v>31.122499999999999</c:v>
                </c:pt>
                <c:pt idx="1">
                  <c:v>20.88</c:v>
                </c:pt>
                <c:pt idx="2">
                  <c:v>21.11</c:v>
                </c:pt>
                <c:pt idx="3">
                  <c:v>19.39</c:v>
                </c:pt>
              </c:numCache>
            </c:numRef>
          </c:val>
        </c:ser>
        <c:dLbls>
          <c:showLegendKey val="0"/>
          <c:showVal val="0"/>
          <c:showCatName val="0"/>
          <c:showSerName val="0"/>
          <c:showPercent val="0"/>
          <c:showBubbleSize val="0"/>
        </c:dLbls>
        <c:gapWidth val="150"/>
        <c:shape val="box"/>
        <c:axId val="306744320"/>
        <c:axId val="306922624"/>
        <c:axId val="0"/>
      </c:bar3DChart>
      <c:catAx>
        <c:axId val="306744320"/>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TRATAMIENTOS </a:t>
                </a:r>
              </a:p>
            </c:rich>
          </c:tx>
          <c:layout/>
          <c:overlay val="0"/>
        </c:title>
        <c:majorTickMark val="out"/>
        <c:minorTickMark val="none"/>
        <c:tickLblPos val="nextTo"/>
        <c:txPr>
          <a:bodyPr/>
          <a:lstStyle/>
          <a:p>
            <a:pPr>
              <a:defRPr sz="1100" b="0">
                <a:latin typeface="Arial" panose="020B0604020202020204" pitchFamily="34" charset="0"/>
                <a:cs typeface="Arial" panose="020B0604020202020204" pitchFamily="34" charset="0"/>
              </a:defRPr>
            </a:pPr>
            <a:endParaRPr lang="es-ES"/>
          </a:p>
        </c:txPr>
        <c:crossAx val="306922624"/>
        <c:crosses val="autoZero"/>
        <c:auto val="1"/>
        <c:lblAlgn val="ctr"/>
        <c:lblOffset val="100"/>
        <c:noMultiLvlLbl val="0"/>
      </c:catAx>
      <c:valAx>
        <c:axId val="306922624"/>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PORCENTAJE</a:t>
                </a:r>
                <a:r>
                  <a:rPr lang="es-ES" sz="1100" baseline="0">
                    <a:latin typeface="Arial" panose="020B0604020202020204" pitchFamily="34" charset="0"/>
                    <a:cs typeface="Arial" panose="020B0604020202020204" pitchFamily="34" charset="0"/>
                  </a:rPr>
                  <a:t> DE SEVERIDAD (%)</a:t>
                </a:r>
                <a:endParaRPr lang="es-ES" sz="1100">
                  <a:latin typeface="Arial" panose="020B0604020202020204" pitchFamily="34" charset="0"/>
                  <a:cs typeface="Arial" panose="020B0604020202020204" pitchFamily="34" charset="0"/>
                </a:endParaRPr>
              </a:p>
            </c:rich>
          </c:tx>
          <c:layout/>
          <c:overlay val="0"/>
        </c:title>
        <c:numFmt formatCode="0.00" sourceLinked="1"/>
        <c:majorTickMark val="out"/>
        <c:minorTickMark val="none"/>
        <c:tickLblPos val="nextTo"/>
        <c:crossAx val="306744320"/>
        <c:crosses val="autoZero"/>
        <c:crossBetween val="between"/>
      </c:valAx>
    </c:plotArea>
    <c:plotVisOnly val="1"/>
    <c:dispBlanksAs val="gap"/>
    <c:showDLblsOverMax val="0"/>
  </c:chart>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Hoja18!$M$15</c:f>
              <c:strCache>
                <c:ptCount val="1"/>
                <c:pt idx="0">
                  <c:v>Porcentaje de la enfermedad (%)</c:v>
                </c:pt>
              </c:strCache>
            </c:strRef>
          </c:tx>
          <c:invertIfNegative val="0"/>
          <c:dLbls>
            <c:txPr>
              <a:bodyPr/>
              <a:lstStyle/>
              <a:p>
                <a:pPr>
                  <a:defRPr sz="1100" b="1"/>
                </a:pPr>
                <a:endParaRPr lang="es-ES"/>
              </a:p>
            </c:txPr>
            <c:showLegendKey val="0"/>
            <c:showVal val="1"/>
            <c:showCatName val="0"/>
            <c:showSerName val="0"/>
            <c:showPercent val="0"/>
            <c:showBubbleSize val="0"/>
            <c:showLeaderLines val="0"/>
          </c:dLbls>
          <c:cat>
            <c:strRef>
              <c:f>Hoja18!$L$16:$L$19</c:f>
              <c:strCache>
                <c:ptCount val="4"/>
                <c:pt idx="0">
                  <c:v>TESTIGO</c:v>
                </c:pt>
                <c:pt idx="1">
                  <c:v>T3 (G-15)</c:v>
                </c:pt>
                <c:pt idx="2">
                  <c:v>T1 (G-7)</c:v>
                </c:pt>
                <c:pt idx="3">
                  <c:v>T2 (G-10)</c:v>
                </c:pt>
              </c:strCache>
            </c:strRef>
          </c:cat>
          <c:val>
            <c:numRef>
              <c:f>Hoja18!$M$16:$M$19</c:f>
              <c:numCache>
                <c:formatCode>0.00</c:formatCode>
                <c:ptCount val="4"/>
                <c:pt idx="0">
                  <c:v>36.39</c:v>
                </c:pt>
                <c:pt idx="1">
                  <c:v>28.9</c:v>
                </c:pt>
                <c:pt idx="2">
                  <c:v>27.45</c:v>
                </c:pt>
                <c:pt idx="3">
                  <c:v>22.7</c:v>
                </c:pt>
              </c:numCache>
            </c:numRef>
          </c:val>
        </c:ser>
        <c:dLbls>
          <c:showLegendKey val="0"/>
          <c:showVal val="0"/>
          <c:showCatName val="0"/>
          <c:showSerName val="0"/>
          <c:showPercent val="0"/>
          <c:showBubbleSize val="0"/>
        </c:dLbls>
        <c:gapWidth val="150"/>
        <c:shape val="box"/>
        <c:axId val="306715648"/>
        <c:axId val="307106944"/>
        <c:axId val="0"/>
      </c:bar3DChart>
      <c:catAx>
        <c:axId val="306715648"/>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TRATAMIENTOS </a:t>
                </a:r>
              </a:p>
            </c:rich>
          </c:tx>
          <c:layout/>
          <c:overlay val="0"/>
        </c:title>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s-ES"/>
          </a:p>
        </c:txPr>
        <c:crossAx val="307106944"/>
        <c:crosses val="autoZero"/>
        <c:auto val="1"/>
        <c:lblAlgn val="ctr"/>
        <c:lblOffset val="100"/>
        <c:noMultiLvlLbl val="0"/>
      </c:catAx>
      <c:valAx>
        <c:axId val="307106944"/>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PORCENTAJE DE SEVERIDAD (%)</a:t>
                </a:r>
              </a:p>
            </c:rich>
          </c:tx>
          <c:layout/>
          <c:overlay val="0"/>
        </c:title>
        <c:numFmt formatCode="0.00" sourceLinked="1"/>
        <c:majorTickMark val="out"/>
        <c:minorTickMark val="none"/>
        <c:tickLblPos val="nextTo"/>
        <c:crossAx val="306715648"/>
        <c:crosses val="autoZero"/>
        <c:crossBetween val="between"/>
      </c:valAx>
    </c:plotArea>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spPr>
        <a:pattFill prst="pct50">
          <a:fgClr>
            <a:schemeClr val="bg2">
              <a:lumMod val="75000"/>
            </a:schemeClr>
          </a:fgClr>
          <a:bgClr>
            <a:schemeClr val="bg1"/>
          </a:bgClr>
        </a:pattFill>
      </c:spPr>
    </c:backWall>
    <c:plotArea>
      <c:layout/>
      <c:bar3DChart>
        <c:barDir val="col"/>
        <c:grouping val="clustered"/>
        <c:varyColors val="0"/>
        <c:ser>
          <c:idx val="0"/>
          <c:order val="0"/>
          <c:tx>
            <c:strRef>
              <c:f>Hoja16!$O$2</c:f>
              <c:strCache>
                <c:ptCount val="1"/>
                <c:pt idx="0">
                  <c:v>AUDPC</c:v>
                </c:pt>
              </c:strCache>
            </c:strRef>
          </c:tx>
          <c:invertIfNegative val="0"/>
          <c:dLbls>
            <c:spPr>
              <a:solidFill>
                <a:schemeClr val="accent5">
                  <a:lumMod val="20000"/>
                  <a:lumOff val="80000"/>
                </a:schemeClr>
              </a:solidFill>
            </c:spPr>
            <c:txPr>
              <a:bodyPr/>
              <a:lstStyle/>
              <a:p>
                <a:pPr>
                  <a:defRPr sz="1100"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dLbls>
          <c:cat>
            <c:strRef>
              <c:f>Hoja16!$N$3:$N$6</c:f>
              <c:strCache>
                <c:ptCount val="4"/>
                <c:pt idx="0">
                  <c:v>TESTIGO</c:v>
                </c:pt>
                <c:pt idx="1">
                  <c:v>T3 (G-15)</c:v>
                </c:pt>
                <c:pt idx="2">
                  <c:v>T1 (G-7)</c:v>
                </c:pt>
                <c:pt idx="3">
                  <c:v>T2 (G-10)</c:v>
                </c:pt>
              </c:strCache>
            </c:strRef>
          </c:cat>
          <c:val>
            <c:numRef>
              <c:f>Hoja16!$O$3:$O$6</c:f>
              <c:numCache>
                <c:formatCode>0.00</c:formatCode>
                <c:ptCount val="4"/>
                <c:pt idx="0">
                  <c:v>2561.6</c:v>
                </c:pt>
                <c:pt idx="1">
                  <c:v>1680.3</c:v>
                </c:pt>
                <c:pt idx="2">
                  <c:v>1745.6</c:v>
                </c:pt>
                <c:pt idx="3">
                  <c:v>1413.7</c:v>
                </c:pt>
              </c:numCache>
            </c:numRef>
          </c:val>
        </c:ser>
        <c:dLbls>
          <c:showLegendKey val="0"/>
          <c:showVal val="0"/>
          <c:showCatName val="0"/>
          <c:showSerName val="0"/>
          <c:showPercent val="0"/>
          <c:showBubbleSize val="0"/>
        </c:dLbls>
        <c:gapWidth val="150"/>
        <c:shape val="box"/>
        <c:axId val="307166208"/>
        <c:axId val="307315840"/>
        <c:axId val="0"/>
      </c:bar3DChart>
      <c:catAx>
        <c:axId val="307166208"/>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TRATAMIENTOS </a:t>
                </a:r>
              </a:p>
            </c:rich>
          </c:tx>
          <c:layout/>
          <c:overlay val="0"/>
        </c:title>
        <c:majorTickMark val="out"/>
        <c:minorTickMark val="none"/>
        <c:tickLblPos val="nextTo"/>
        <c:txPr>
          <a:bodyPr/>
          <a:lstStyle/>
          <a:p>
            <a:pPr>
              <a:defRPr sz="1200" b="0">
                <a:latin typeface="Arial" panose="020B0604020202020204" pitchFamily="34" charset="0"/>
                <a:cs typeface="Arial" panose="020B0604020202020204" pitchFamily="34" charset="0"/>
              </a:defRPr>
            </a:pPr>
            <a:endParaRPr lang="es-ES"/>
          </a:p>
        </c:txPr>
        <c:crossAx val="307315840"/>
        <c:crosses val="autoZero"/>
        <c:auto val="1"/>
        <c:lblAlgn val="ctr"/>
        <c:lblOffset val="100"/>
        <c:noMultiLvlLbl val="0"/>
      </c:catAx>
      <c:valAx>
        <c:axId val="307315840"/>
        <c:scaling>
          <c:orientation val="minMax"/>
        </c:scaling>
        <c:delete val="0"/>
        <c:axPos val="l"/>
        <c:majorGridlines/>
        <c:title>
          <c:tx>
            <c:rich>
              <a:bodyPr rot="-5400000" vert="horz"/>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AUDPC</a:t>
                </a:r>
              </a:p>
            </c:rich>
          </c:tx>
          <c:layout/>
          <c:overlay val="0"/>
        </c:title>
        <c:numFmt formatCode="0.00" sourceLinked="1"/>
        <c:majorTickMark val="out"/>
        <c:minorTickMark val="none"/>
        <c:tickLblPos val="nextTo"/>
        <c:crossAx val="30716620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Hoja2!$N$3</c:f>
              <c:strCache>
                <c:ptCount val="1"/>
                <c:pt idx="0">
                  <c:v>30 cm</c:v>
                </c:pt>
              </c:strCache>
            </c:strRef>
          </c:tx>
          <c:cat>
            <c:multiLvlStrRef>
              <c:f>Hoja2!$J$4:$K$27</c:f>
              <c:multiLvlStrCache>
                <c:ptCount val="24"/>
                <c:lvl>
                  <c:pt idx="0">
                    <c:v>semana 1</c:v>
                  </c:pt>
                  <c:pt idx="1">
                    <c:v>semana 2</c:v>
                  </c:pt>
                  <c:pt idx="2">
                    <c:v>semana 3</c:v>
                  </c:pt>
                  <c:pt idx="3">
                    <c:v>semana 4</c:v>
                  </c:pt>
                  <c:pt idx="4">
                    <c:v>semana 1</c:v>
                  </c:pt>
                  <c:pt idx="5">
                    <c:v>semana 2 </c:v>
                  </c:pt>
                  <c:pt idx="6">
                    <c:v>semana 3</c:v>
                  </c:pt>
                  <c:pt idx="7">
                    <c:v>semana 4</c:v>
                  </c:pt>
                  <c:pt idx="8">
                    <c:v>semana 1</c:v>
                  </c:pt>
                  <c:pt idx="9">
                    <c:v>semana 2</c:v>
                  </c:pt>
                  <c:pt idx="10">
                    <c:v>semana 3</c:v>
                  </c:pt>
                  <c:pt idx="11">
                    <c:v>semana 4</c:v>
                  </c:pt>
                  <c:pt idx="12">
                    <c:v>semana  1</c:v>
                  </c:pt>
                  <c:pt idx="13">
                    <c:v>semana 2</c:v>
                  </c:pt>
                  <c:pt idx="14">
                    <c:v>semana 3</c:v>
                  </c:pt>
                  <c:pt idx="15">
                    <c:v>semana 4</c:v>
                  </c:pt>
                  <c:pt idx="16">
                    <c:v>semana 1</c:v>
                  </c:pt>
                  <c:pt idx="17">
                    <c:v>semana2</c:v>
                  </c:pt>
                  <c:pt idx="18">
                    <c:v>semana3</c:v>
                  </c:pt>
                  <c:pt idx="19">
                    <c:v>semana 4</c:v>
                  </c:pt>
                  <c:pt idx="20">
                    <c:v>semana1</c:v>
                  </c:pt>
                  <c:pt idx="21">
                    <c:v>semana 2</c:v>
                  </c:pt>
                  <c:pt idx="22">
                    <c:v>semana 3</c:v>
                  </c:pt>
                  <c:pt idx="23">
                    <c:v>semana 4</c:v>
                  </c:pt>
                </c:lvl>
                <c:lvl>
                  <c:pt idx="0">
                    <c:v>OCTUBRE</c:v>
                  </c:pt>
                  <c:pt idx="4">
                    <c:v>NOVIEMBRE </c:v>
                  </c:pt>
                  <c:pt idx="8">
                    <c:v>DICIEMBRE </c:v>
                  </c:pt>
                  <c:pt idx="12">
                    <c:v>ENERO</c:v>
                  </c:pt>
                  <c:pt idx="16">
                    <c:v>FEBRERO</c:v>
                  </c:pt>
                  <c:pt idx="20">
                    <c:v>MARZO</c:v>
                  </c:pt>
                </c:lvl>
              </c:multiLvlStrCache>
            </c:multiLvlStrRef>
          </c:cat>
          <c:val>
            <c:numRef>
              <c:f>Hoja2!$N$4:$N$27</c:f>
              <c:numCache>
                <c:formatCode>General</c:formatCode>
                <c:ptCount val="24"/>
                <c:pt idx="0">
                  <c:v>21.982866000000001</c:v>
                </c:pt>
                <c:pt idx="1">
                  <c:v>22.951343688888883</c:v>
                </c:pt>
                <c:pt idx="2">
                  <c:v>26.258561499999999</c:v>
                </c:pt>
                <c:pt idx="3">
                  <c:v>25.953213999999999</c:v>
                </c:pt>
                <c:pt idx="4">
                  <c:v>27.532207448333327</c:v>
                </c:pt>
                <c:pt idx="5">
                  <c:v>26.869419666666669</c:v>
                </c:pt>
                <c:pt idx="6">
                  <c:v>27.802112555555553</c:v>
                </c:pt>
                <c:pt idx="7">
                  <c:v>15.872310000000001</c:v>
                </c:pt>
                <c:pt idx="8">
                  <c:v>5.9843209999999996</c:v>
                </c:pt>
                <c:pt idx="9">
                  <c:v>20.457896300000002</c:v>
                </c:pt>
                <c:pt idx="10">
                  <c:v>31.537189333333334</c:v>
                </c:pt>
                <c:pt idx="11">
                  <c:v>40.5899</c:v>
                </c:pt>
                <c:pt idx="12">
                  <c:v>32.141550222222222</c:v>
                </c:pt>
                <c:pt idx="13">
                  <c:v>33.815587000000001</c:v>
                </c:pt>
                <c:pt idx="14">
                  <c:v>37.485900000000001</c:v>
                </c:pt>
                <c:pt idx="15">
                  <c:v>39.789650000000002</c:v>
                </c:pt>
                <c:pt idx="16">
                  <c:v>33.772457000000003</c:v>
                </c:pt>
                <c:pt idx="17">
                  <c:v>37.174557</c:v>
                </c:pt>
                <c:pt idx="18">
                  <c:v>34.575370999999997</c:v>
                </c:pt>
                <c:pt idx="19">
                  <c:v>35.318600000000004</c:v>
                </c:pt>
                <c:pt idx="20">
                  <c:v>31.292269999999998</c:v>
                </c:pt>
                <c:pt idx="21">
                  <c:v>12.4587962</c:v>
                </c:pt>
                <c:pt idx="22">
                  <c:v>28.79232</c:v>
                </c:pt>
                <c:pt idx="23">
                  <c:v>25.452135999999999</c:v>
                </c:pt>
              </c:numCache>
            </c:numRef>
          </c:val>
          <c:smooth val="0"/>
        </c:ser>
        <c:dLbls>
          <c:showLegendKey val="0"/>
          <c:showVal val="0"/>
          <c:showCatName val="0"/>
          <c:showSerName val="0"/>
          <c:showPercent val="0"/>
          <c:showBubbleSize val="0"/>
        </c:dLbls>
        <c:marker val="1"/>
        <c:smooth val="0"/>
        <c:axId val="301704704"/>
        <c:axId val="301706624"/>
      </c:lineChart>
      <c:catAx>
        <c:axId val="301704704"/>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TIEMPO</a:t>
                </a:r>
                <a:r>
                  <a:rPr lang="es-ES" sz="1200" baseline="0">
                    <a:latin typeface="Arial" panose="020B0604020202020204" pitchFamily="34" charset="0"/>
                    <a:cs typeface="Arial" panose="020B0604020202020204" pitchFamily="34" charset="0"/>
                  </a:rPr>
                  <a:t> (SEMANAS)</a:t>
                </a:r>
                <a:endParaRPr lang="es-ES" sz="1200">
                  <a:latin typeface="Arial" panose="020B0604020202020204" pitchFamily="34" charset="0"/>
                  <a:cs typeface="Arial" panose="020B0604020202020204" pitchFamily="34" charset="0"/>
                </a:endParaRPr>
              </a:p>
            </c:rich>
          </c:tx>
          <c:layout/>
          <c:overlay val="0"/>
        </c:title>
        <c:majorTickMark val="out"/>
        <c:minorTickMark val="none"/>
        <c:tickLblPos val="nextTo"/>
        <c:txPr>
          <a:bodyPr/>
          <a:lstStyle/>
          <a:p>
            <a:pPr>
              <a:defRPr>
                <a:latin typeface="Arial" panose="020B0604020202020204" pitchFamily="34" charset="0"/>
                <a:cs typeface="Arial" panose="020B0604020202020204" pitchFamily="34" charset="0"/>
              </a:defRPr>
            </a:pPr>
            <a:endParaRPr lang="es-ES"/>
          </a:p>
        </c:txPr>
        <c:crossAx val="301706624"/>
        <c:crosses val="autoZero"/>
        <c:auto val="1"/>
        <c:lblAlgn val="ctr"/>
        <c:lblOffset val="100"/>
        <c:noMultiLvlLbl val="0"/>
      </c:catAx>
      <c:valAx>
        <c:axId val="301706624"/>
        <c:scaling>
          <c:orientation val="minMax"/>
        </c:scaling>
        <c:delete val="0"/>
        <c:axPos val="l"/>
        <c:majorGridlines/>
        <c:title>
          <c:tx>
            <c:rich>
              <a:bodyPr rot="-5400000" vert="horz"/>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HUMEDAD</a:t>
                </a:r>
                <a:r>
                  <a:rPr lang="es-ES" sz="1200" baseline="0">
                    <a:latin typeface="Arial" panose="020B0604020202020204" pitchFamily="34" charset="0"/>
                    <a:cs typeface="Arial" panose="020B0604020202020204" pitchFamily="34" charset="0"/>
                  </a:rPr>
                  <a:t> DEL SUELO (%)</a:t>
                </a:r>
                <a:endParaRPr lang="es-ES" sz="1200">
                  <a:latin typeface="Arial" panose="020B0604020202020204" pitchFamily="34" charset="0"/>
                  <a:cs typeface="Arial" panose="020B0604020202020204" pitchFamily="34" charset="0"/>
                </a:endParaRPr>
              </a:p>
            </c:rich>
          </c:tx>
          <c:layout/>
          <c:overlay val="0"/>
        </c:title>
        <c:numFmt formatCode="General" sourceLinked="1"/>
        <c:majorTickMark val="out"/>
        <c:minorTickMark val="none"/>
        <c:tickLblPos val="nextTo"/>
        <c:crossAx val="301704704"/>
        <c:crosses val="autoZero"/>
        <c:crossBetween val="between"/>
      </c:valAx>
    </c:plotArea>
    <c:legend>
      <c:legendPos val="r"/>
      <c:layout/>
      <c:overlay val="0"/>
      <c:txPr>
        <a:bodyPr/>
        <a:lstStyle/>
        <a:p>
          <a:pPr>
            <a:defRPr sz="1100">
              <a:latin typeface="Arial" panose="020B0604020202020204" pitchFamily="34" charset="0"/>
              <a:cs typeface="Arial" panose="020B0604020202020204" pitchFamily="34" charset="0"/>
            </a:defRPr>
          </a:pPr>
          <a:endParaRPr lang="es-E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Hoja10!$L$15</c:f>
              <c:strCache>
                <c:ptCount val="1"/>
                <c:pt idx="0">
                  <c:v>Días a la floración</c:v>
                </c:pt>
              </c:strCache>
            </c:strRef>
          </c:tx>
          <c:invertIfNegative val="0"/>
          <c:dLbls>
            <c:spPr>
              <a:solidFill>
                <a:schemeClr val="accent6">
                  <a:lumMod val="60000"/>
                  <a:lumOff val="40000"/>
                </a:schemeClr>
              </a:solidFill>
            </c:spPr>
            <c:showLegendKey val="0"/>
            <c:showVal val="1"/>
            <c:showCatName val="0"/>
            <c:showSerName val="0"/>
            <c:showPercent val="0"/>
            <c:showBubbleSize val="0"/>
            <c:showLeaderLines val="0"/>
          </c:dLbls>
          <c:cat>
            <c:strRef>
              <c:f>Hoja10!$K$16:$K$19</c:f>
              <c:strCache>
                <c:ptCount val="4"/>
                <c:pt idx="0">
                  <c:v>Testigo</c:v>
                </c:pt>
                <c:pt idx="1">
                  <c:v>T3 (G-15)</c:v>
                </c:pt>
                <c:pt idx="2">
                  <c:v>T1 (G-7)</c:v>
                </c:pt>
                <c:pt idx="3">
                  <c:v>T2 (G-10)</c:v>
                </c:pt>
              </c:strCache>
            </c:strRef>
          </c:cat>
          <c:val>
            <c:numRef>
              <c:f>Hoja10!$L$16:$L$19</c:f>
              <c:numCache>
                <c:formatCode>General</c:formatCode>
                <c:ptCount val="4"/>
                <c:pt idx="0" formatCode="0.00">
                  <c:v>90</c:v>
                </c:pt>
                <c:pt idx="1">
                  <c:v>80.67</c:v>
                </c:pt>
                <c:pt idx="2" formatCode="0.00">
                  <c:v>75.17</c:v>
                </c:pt>
                <c:pt idx="3">
                  <c:v>71.34</c:v>
                </c:pt>
              </c:numCache>
            </c:numRef>
          </c:val>
        </c:ser>
        <c:dLbls>
          <c:showLegendKey val="0"/>
          <c:showVal val="0"/>
          <c:showCatName val="0"/>
          <c:showSerName val="0"/>
          <c:showPercent val="0"/>
          <c:showBubbleSize val="0"/>
        </c:dLbls>
        <c:gapWidth val="150"/>
        <c:shape val="box"/>
        <c:axId val="303487232"/>
        <c:axId val="303497600"/>
        <c:axId val="0"/>
      </c:bar3DChart>
      <c:catAx>
        <c:axId val="303487232"/>
        <c:scaling>
          <c:orientation val="minMax"/>
        </c:scaling>
        <c:delete val="0"/>
        <c:axPos val="b"/>
        <c:title>
          <c:tx>
            <c:rich>
              <a:bodyPr/>
              <a:lstStyle/>
              <a:p>
                <a:pPr algn="just">
                  <a:defRPr sz="1200"/>
                </a:pPr>
                <a:r>
                  <a:rPr lang="es-ES" sz="1200"/>
                  <a:t>TRATAMIENTOS </a:t>
                </a:r>
              </a:p>
            </c:rich>
          </c:tx>
          <c:layout/>
          <c:overlay val="0"/>
        </c:title>
        <c:majorTickMark val="out"/>
        <c:minorTickMark val="none"/>
        <c:tickLblPos val="nextTo"/>
        <c:txPr>
          <a:bodyPr/>
          <a:lstStyle/>
          <a:p>
            <a:pPr>
              <a:defRPr sz="1200"/>
            </a:pPr>
            <a:endParaRPr lang="es-ES"/>
          </a:p>
        </c:txPr>
        <c:crossAx val="303497600"/>
        <c:crosses val="autoZero"/>
        <c:auto val="1"/>
        <c:lblAlgn val="ctr"/>
        <c:lblOffset val="100"/>
        <c:noMultiLvlLbl val="0"/>
      </c:catAx>
      <c:valAx>
        <c:axId val="303497600"/>
        <c:scaling>
          <c:orientation val="minMax"/>
        </c:scaling>
        <c:delete val="0"/>
        <c:axPos val="l"/>
        <c:majorGridlines/>
        <c:title>
          <c:tx>
            <c:rich>
              <a:bodyPr rot="-5400000" vert="horz"/>
              <a:lstStyle/>
              <a:p>
                <a:pPr algn="just">
                  <a:defRPr sz="1200"/>
                </a:pPr>
                <a:r>
                  <a:rPr lang="es-ES" sz="1200"/>
                  <a:t>DIAS A LA FLORACION </a:t>
                </a:r>
              </a:p>
            </c:rich>
          </c:tx>
          <c:layout/>
          <c:overlay val="0"/>
        </c:title>
        <c:numFmt formatCode="0" sourceLinked="0"/>
        <c:majorTickMark val="out"/>
        <c:minorTickMark val="none"/>
        <c:tickLblPos val="nextTo"/>
        <c:crossAx val="303487232"/>
        <c:crosses val="autoZero"/>
        <c:crossBetween val="between"/>
      </c:valAx>
    </c:plotArea>
    <c:plotVisOnly val="1"/>
    <c:dispBlanksAs val="gap"/>
    <c:showDLblsOverMax val="0"/>
  </c:chart>
  <c:spPr>
    <a:gradFill>
      <a:gsLst>
        <a:gs pos="7400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Arial" panose="020B0604020202020204" pitchFamily="34" charset="0"/>
          <a:cs typeface="Arial" panose="020B0604020202020204" pitchFamily="34" charset="0"/>
        </a:defRPr>
      </a:pPr>
      <a:endParaRPr lang="es-E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Hoja9!$AR$16</c:f>
              <c:strCache>
                <c:ptCount val="1"/>
                <c:pt idx="0">
                  <c:v>Altura de plantas (cm)</c:v>
                </c:pt>
              </c:strCache>
            </c:strRef>
          </c:tx>
          <c:invertIfNegative val="0"/>
          <c:dLbls>
            <c:txPr>
              <a:bodyPr/>
              <a:lstStyle/>
              <a:p>
                <a:pPr>
                  <a:defRPr sz="1100"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dLbls>
          <c:cat>
            <c:strRef>
              <c:f>Hoja9!$AQ$17:$AQ$20</c:f>
              <c:strCache>
                <c:ptCount val="4"/>
                <c:pt idx="0">
                  <c:v>TESTIGO</c:v>
                </c:pt>
                <c:pt idx="1">
                  <c:v>T3(G-15)</c:v>
                </c:pt>
                <c:pt idx="2">
                  <c:v>T2(G-10)</c:v>
                </c:pt>
                <c:pt idx="3">
                  <c:v>T1(G-7)</c:v>
                </c:pt>
              </c:strCache>
            </c:strRef>
          </c:cat>
          <c:val>
            <c:numRef>
              <c:f>Hoja9!$AR$17:$AR$20</c:f>
              <c:numCache>
                <c:formatCode>General</c:formatCode>
                <c:ptCount val="4"/>
                <c:pt idx="0">
                  <c:v>42.475000000000001</c:v>
                </c:pt>
                <c:pt idx="1">
                  <c:v>38.950000000000003</c:v>
                </c:pt>
                <c:pt idx="2">
                  <c:v>38.075000000000003</c:v>
                </c:pt>
                <c:pt idx="3" formatCode="0.000">
                  <c:v>31.3</c:v>
                </c:pt>
              </c:numCache>
            </c:numRef>
          </c:val>
        </c:ser>
        <c:dLbls>
          <c:showLegendKey val="0"/>
          <c:showVal val="0"/>
          <c:showCatName val="0"/>
          <c:showSerName val="0"/>
          <c:showPercent val="0"/>
          <c:showBubbleSize val="0"/>
        </c:dLbls>
        <c:gapWidth val="150"/>
        <c:shape val="box"/>
        <c:axId val="303270144"/>
        <c:axId val="303272320"/>
        <c:axId val="0"/>
      </c:bar3DChart>
      <c:catAx>
        <c:axId val="303270144"/>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TRATAMIENTOS</a:t>
                </a:r>
              </a:p>
            </c:rich>
          </c:tx>
          <c:layout/>
          <c:overlay val="0"/>
        </c:title>
        <c:majorTickMark val="out"/>
        <c:minorTickMark val="none"/>
        <c:tickLblPos val="nextTo"/>
        <c:txPr>
          <a:bodyPr/>
          <a:lstStyle/>
          <a:p>
            <a:pPr>
              <a:defRPr sz="1200" b="0">
                <a:latin typeface="Arial" panose="020B0604020202020204" pitchFamily="34" charset="0"/>
                <a:cs typeface="Arial" panose="020B0604020202020204" pitchFamily="34" charset="0"/>
              </a:defRPr>
            </a:pPr>
            <a:endParaRPr lang="es-ES"/>
          </a:p>
        </c:txPr>
        <c:crossAx val="303272320"/>
        <c:crosses val="autoZero"/>
        <c:auto val="1"/>
        <c:lblAlgn val="ctr"/>
        <c:lblOffset val="100"/>
        <c:noMultiLvlLbl val="0"/>
      </c:catAx>
      <c:valAx>
        <c:axId val="303272320"/>
        <c:scaling>
          <c:orientation val="minMax"/>
        </c:scaling>
        <c:delete val="0"/>
        <c:axPos val="l"/>
        <c:majorGridlines/>
        <c:title>
          <c:tx>
            <c:rich>
              <a:bodyPr rot="-5400000" vert="horz"/>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ALTURA DE PLANTA</a:t>
                </a:r>
                <a:r>
                  <a:rPr lang="es-ES" sz="1200" baseline="0">
                    <a:latin typeface="Arial" panose="020B0604020202020204" pitchFamily="34" charset="0"/>
                    <a:cs typeface="Arial" panose="020B0604020202020204" pitchFamily="34" charset="0"/>
                  </a:rPr>
                  <a:t> </a:t>
                </a:r>
                <a:r>
                  <a:rPr lang="es-ES" sz="1200">
                    <a:latin typeface="Arial" panose="020B0604020202020204" pitchFamily="34" charset="0"/>
                    <a:cs typeface="Arial" panose="020B0604020202020204" pitchFamily="34" charset="0"/>
                  </a:rPr>
                  <a:t>(cm)</a:t>
                </a:r>
              </a:p>
            </c:rich>
          </c:tx>
          <c:layout/>
          <c:overlay val="0"/>
        </c:title>
        <c:numFmt formatCode="General" sourceLinked="1"/>
        <c:majorTickMark val="out"/>
        <c:minorTickMark val="none"/>
        <c:tickLblPos val="nextTo"/>
        <c:crossAx val="303270144"/>
        <c:crosses val="autoZero"/>
        <c:crossBetween val="between"/>
      </c:valAx>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Hoja12!$AB$16</c:f>
              <c:strCache>
                <c:ptCount val="1"/>
                <c:pt idx="0">
                  <c:v>Peso de grano por panoja (gr)</c:v>
                </c:pt>
              </c:strCache>
            </c:strRef>
          </c:tx>
          <c:invertIfNegative val="0"/>
          <c:dLbls>
            <c:spPr>
              <a:solidFill>
                <a:schemeClr val="accent3">
                  <a:lumMod val="20000"/>
                  <a:lumOff val="80000"/>
                </a:schemeClr>
              </a:solidFill>
            </c:spPr>
            <c:txPr>
              <a:bodyPr/>
              <a:lstStyle/>
              <a:p>
                <a:pPr>
                  <a:defRPr sz="1100"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dLbls>
          <c:cat>
            <c:strRef>
              <c:f>Hoja12!$AA$17:$AA$20</c:f>
              <c:strCache>
                <c:ptCount val="4"/>
                <c:pt idx="0">
                  <c:v>T1 (G-7)</c:v>
                </c:pt>
                <c:pt idx="1">
                  <c:v>T2 (G-10)</c:v>
                </c:pt>
                <c:pt idx="2">
                  <c:v>T3 (G-15)</c:v>
                </c:pt>
                <c:pt idx="3">
                  <c:v>Testigo</c:v>
                </c:pt>
              </c:strCache>
            </c:strRef>
          </c:cat>
          <c:val>
            <c:numRef>
              <c:f>Hoja12!$AB$17:$AB$20</c:f>
              <c:numCache>
                <c:formatCode>General</c:formatCode>
                <c:ptCount val="4"/>
                <c:pt idx="0" formatCode="0.00">
                  <c:v>4.25</c:v>
                </c:pt>
                <c:pt idx="1">
                  <c:v>4.22</c:v>
                </c:pt>
                <c:pt idx="2">
                  <c:v>3.15</c:v>
                </c:pt>
                <c:pt idx="3" formatCode="0.00">
                  <c:v>2.42</c:v>
                </c:pt>
              </c:numCache>
            </c:numRef>
          </c:val>
        </c:ser>
        <c:dLbls>
          <c:showLegendKey val="0"/>
          <c:showVal val="0"/>
          <c:showCatName val="0"/>
          <c:showSerName val="0"/>
          <c:showPercent val="0"/>
          <c:showBubbleSize val="0"/>
        </c:dLbls>
        <c:gapWidth val="150"/>
        <c:shape val="box"/>
        <c:axId val="303770240"/>
        <c:axId val="303772416"/>
        <c:axId val="0"/>
      </c:bar3DChart>
      <c:catAx>
        <c:axId val="303770240"/>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TRATAMIENTOS</a:t>
                </a:r>
                <a:r>
                  <a:rPr lang="es-ES" sz="1200" baseline="0">
                    <a:latin typeface="Arial" panose="020B0604020202020204" pitchFamily="34" charset="0"/>
                    <a:cs typeface="Arial" panose="020B0604020202020204" pitchFamily="34" charset="0"/>
                  </a:rPr>
                  <a:t> </a:t>
                </a:r>
                <a:endParaRPr lang="es-ES" sz="1200">
                  <a:latin typeface="Arial" panose="020B0604020202020204" pitchFamily="34" charset="0"/>
                  <a:cs typeface="Arial" panose="020B0604020202020204" pitchFamily="34" charset="0"/>
                </a:endParaRPr>
              </a:p>
            </c:rich>
          </c:tx>
          <c:layout/>
          <c:overlay val="0"/>
        </c:title>
        <c:majorTickMark val="out"/>
        <c:minorTickMark val="none"/>
        <c:tickLblPos val="nextTo"/>
        <c:txPr>
          <a:bodyPr/>
          <a:lstStyle/>
          <a:p>
            <a:pPr>
              <a:defRPr sz="1200" b="0">
                <a:latin typeface="Arial" panose="020B0604020202020204" pitchFamily="34" charset="0"/>
                <a:cs typeface="Arial" panose="020B0604020202020204" pitchFamily="34" charset="0"/>
              </a:defRPr>
            </a:pPr>
            <a:endParaRPr lang="es-ES"/>
          </a:p>
        </c:txPr>
        <c:crossAx val="303772416"/>
        <c:crosses val="autoZero"/>
        <c:auto val="1"/>
        <c:lblAlgn val="ctr"/>
        <c:lblOffset val="100"/>
        <c:noMultiLvlLbl val="0"/>
      </c:catAx>
      <c:valAx>
        <c:axId val="303772416"/>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PESO DE GRANO  POR PANOJA</a:t>
                </a:r>
                <a:r>
                  <a:rPr lang="es-ES" sz="1100" baseline="0">
                    <a:latin typeface="Arial" panose="020B0604020202020204" pitchFamily="34" charset="0"/>
                    <a:cs typeface="Arial" panose="020B0604020202020204" pitchFamily="34" charset="0"/>
                  </a:rPr>
                  <a:t> (gr)</a:t>
                </a:r>
                <a:endParaRPr lang="es-ES" sz="1100">
                  <a:latin typeface="Arial" panose="020B0604020202020204" pitchFamily="34" charset="0"/>
                  <a:cs typeface="Arial" panose="020B0604020202020204" pitchFamily="34" charset="0"/>
                </a:endParaRPr>
              </a:p>
            </c:rich>
          </c:tx>
          <c:layout/>
          <c:overlay val="0"/>
        </c:title>
        <c:numFmt formatCode="0.0" sourceLinked="0"/>
        <c:majorTickMark val="out"/>
        <c:minorTickMark val="none"/>
        <c:tickLblPos val="nextTo"/>
        <c:crossAx val="303770240"/>
        <c:crosses val="autoZero"/>
        <c:crossBetween val="between"/>
      </c:valAx>
    </c:plotArea>
    <c:plotVisOnly val="1"/>
    <c:dispBlanksAs val="gap"/>
    <c:showDLblsOverMax val="0"/>
  </c:chart>
  <c:spPr>
    <a:gradFill>
      <a:gsLst>
        <a:gs pos="74000">
          <a:schemeClr val="accent3">
            <a:lumMod val="60000"/>
            <a:lumOff val="4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Hoja13!$K$17</c:f>
              <c:strCache>
                <c:ptCount val="1"/>
                <c:pt idx="0">
                  <c:v>Peso de 100 semillas (gr)</c:v>
                </c:pt>
              </c:strCache>
            </c:strRef>
          </c:tx>
          <c:invertIfNegative val="0"/>
          <c:dLbls>
            <c:spPr>
              <a:solidFill>
                <a:schemeClr val="bg2">
                  <a:lumMod val="90000"/>
                </a:schemeClr>
              </a:solidFill>
            </c:spPr>
            <c:txPr>
              <a:bodyPr/>
              <a:lstStyle/>
              <a:p>
                <a:pPr>
                  <a:defRPr sz="1100"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dLbls>
          <c:cat>
            <c:strRef>
              <c:f>Hoja13!$J$18:$J$21</c:f>
              <c:strCache>
                <c:ptCount val="4"/>
                <c:pt idx="0">
                  <c:v>Testigo</c:v>
                </c:pt>
                <c:pt idx="1">
                  <c:v>T2 (G-10)</c:v>
                </c:pt>
                <c:pt idx="2">
                  <c:v>T3 (G-15)</c:v>
                </c:pt>
                <c:pt idx="3">
                  <c:v>T1 (G-7)</c:v>
                </c:pt>
              </c:strCache>
            </c:strRef>
          </c:cat>
          <c:val>
            <c:numRef>
              <c:f>Hoja13!$K$18:$K$21</c:f>
              <c:numCache>
                <c:formatCode>General</c:formatCode>
                <c:ptCount val="4"/>
                <c:pt idx="0" formatCode="0.00">
                  <c:v>0.35</c:v>
                </c:pt>
                <c:pt idx="1">
                  <c:v>0.32</c:v>
                </c:pt>
                <c:pt idx="2">
                  <c:v>0.31</c:v>
                </c:pt>
                <c:pt idx="3" formatCode="0.00">
                  <c:v>0.3</c:v>
                </c:pt>
              </c:numCache>
            </c:numRef>
          </c:val>
        </c:ser>
        <c:dLbls>
          <c:showLegendKey val="0"/>
          <c:showVal val="0"/>
          <c:showCatName val="0"/>
          <c:showSerName val="0"/>
          <c:showPercent val="0"/>
          <c:showBubbleSize val="0"/>
        </c:dLbls>
        <c:gapWidth val="150"/>
        <c:shape val="box"/>
        <c:axId val="304061056"/>
        <c:axId val="304063232"/>
        <c:axId val="0"/>
      </c:bar3DChart>
      <c:catAx>
        <c:axId val="304061056"/>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TRATAMIENTOS </a:t>
                </a:r>
              </a:p>
            </c:rich>
          </c:tx>
          <c:layout/>
          <c:overlay val="0"/>
        </c:title>
        <c:majorTickMark val="out"/>
        <c:minorTickMark val="none"/>
        <c:tickLblPos val="nextTo"/>
        <c:txPr>
          <a:bodyPr/>
          <a:lstStyle/>
          <a:p>
            <a:pPr>
              <a:defRPr sz="1100" b="0">
                <a:latin typeface="Arial" panose="020B0604020202020204" pitchFamily="34" charset="0"/>
                <a:cs typeface="Arial" panose="020B0604020202020204" pitchFamily="34" charset="0"/>
              </a:defRPr>
            </a:pPr>
            <a:endParaRPr lang="es-ES"/>
          </a:p>
        </c:txPr>
        <c:crossAx val="304063232"/>
        <c:crosses val="autoZero"/>
        <c:auto val="1"/>
        <c:lblAlgn val="ctr"/>
        <c:lblOffset val="100"/>
        <c:noMultiLvlLbl val="0"/>
      </c:catAx>
      <c:valAx>
        <c:axId val="304063232"/>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PESO</a:t>
                </a:r>
                <a:r>
                  <a:rPr lang="es-ES" sz="1100" baseline="0">
                    <a:latin typeface="Arial" panose="020B0604020202020204" pitchFamily="34" charset="0"/>
                    <a:cs typeface="Arial" panose="020B0604020202020204" pitchFamily="34" charset="0"/>
                  </a:rPr>
                  <a:t> DE 100 SEMILLAS (gr)</a:t>
                </a:r>
                <a:endParaRPr lang="es-ES" sz="1100">
                  <a:latin typeface="Arial" panose="020B0604020202020204" pitchFamily="34" charset="0"/>
                  <a:cs typeface="Arial" panose="020B0604020202020204" pitchFamily="34" charset="0"/>
                </a:endParaRPr>
              </a:p>
            </c:rich>
          </c:tx>
          <c:layout/>
          <c:overlay val="0"/>
        </c:title>
        <c:numFmt formatCode="0.00" sourceLinked="1"/>
        <c:majorTickMark val="out"/>
        <c:minorTickMark val="none"/>
        <c:tickLblPos val="nextTo"/>
        <c:crossAx val="304061056"/>
        <c:crosses val="autoZero"/>
        <c:crossBetween val="between"/>
      </c:valAx>
    </c:plotArea>
    <c:plotVisOnly val="1"/>
    <c:dispBlanksAs val="gap"/>
    <c:showDLblsOverMax val="0"/>
  </c:chart>
  <c:spPr>
    <a:gradFill>
      <a:gsLst>
        <a:gs pos="74000">
          <a:schemeClr val="accent3">
            <a:lumMod val="60000"/>
            <a:lumOff val="4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Hoja26!$Q$38</c:f>
              <c:strCache>
                <c:ptCount val="1"/>
                <c:pt idx="0">
                  <c:v>Rendimiento Kg/ha</c:v>
                </c:pt>
              </c:strCache>
            </c:strRef>
          </c:tx>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2"/>
              <c:layout/>
              <c:showLegendKey val="0"/>
              <c:showVal val="1"/>
              <c:showCatName val="0"/>
              <c:showSerName val="0"/>
              <c:showPercent val="0"/>
              <c:showBubbleSize val="0"/>
            </c:dLbl>
            <c:dLbl>
              <c:idx val="3"/>
              <c:layout/>
              <c:showLegendKey val="0"/>
              <c:showVal val="1"/>
              <c:showCatName val="0"/>
              <c:showSerName val="0"/>
              <c:showPercent val="0"/>
              <c:showBubbleSize val="0"/>
            </c:dLbl>
            <c:txPr>
              <a:bodyPr/>
              <a:lstStyle/>
              <a:p>
                <a:pPr>
                  <a:defRPr sz="1100" b="1">
                    <a:latin typeface="Arial" panose="020B0604020202020204" pitchFamily="34" charset="0"/>
                    <a:cs typeface="Arial" panose="020B0604020202020204" pitchFamily="34" charset="0"/>
                  </a:defRPr>
                </a:pPr>
                <a:endParaRPr lang="es-ES"/>
              </a:p>
            </c:txPr>
            <c:showLegendKey val="0"/>
            <c:showVal val="0"/>
            <c:showCatName val="0"/>
            <c:showSerName val="0"/>
            <c:showPercent val="0"/>
            <c:showBubbleSize val="0"/>
          </c:dLbls>
          <c:cat>
            <c:strRef>
              <c:f>Hoja26!$P$39:$P$42</c:f>
              <c:strCache>
                <c:ptCount val="4"/>
                <c:pt idx="0">
                  <c:v>T2 (G-10)</c:v>
                </c:pt>
                <c:pt idx="1">
                  <c:v>T1 (G-7)</c:v>
                </c:pt>
                <c:pt idx="2">
                  <c:v>T3 (G-15)</c:v>
                </c:pt>
                <c:pt idx="3">
                  <c:v>TESTIGO</c:v>
                </c:pt>
              </c:strCache>
            </c:strRef>
          </c:cat>
          <c:val>
            <c:numRef>
              <c:f>Hoja26!$Q$39:$Q$42</c:f>
              <c:numCache>
                <c:formatCode>0.00</c:formatCode>
                <c:ptCount val="4"/>
                <c:pt idx="0">
                  <c:v>459.63749999999999</c:v>
                </c:pt>
                <c:pt idx="1">
                  <c:v>284.2</c:v>
                </c:pt>
                <c:pt idx="2">
                  <c:v>272.25</c:v>
                </c:pt>
                <c:pt idx="3">
                  <c:v>196.5575</c:v>
                </c:pt>
              </c:numCache>
            </c:numRef>
          </c:val>
        </c:ser>
        <c:dLbls>
          <c:showLegendKey val="0"/>
          <c:showVal val="0"/>
          <c:showCatName val="0"/>
          <c:showSerName val="0"/>
          <c:showPercent val="0"/>
          <c:showBubbleSize val="0"/>
        </c:dLbls>
        <c:gapWidth val="150"/>
        <c:shape val="box"/>
        <c:axId val="303454848"/>
        <c:axId val="304804608"/>
        <c:axId val="0"/>
      </c:bar3DChart>
      <c:catAx>
        <c:axId val="303454848"/>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TRATAMIENTOS</a:t>
                </a:r>
                <a:r>
                  <a:rPr lang="es-ES" sz="1100" baseline="0">
                    <a:latin typeface="Arial" panose="020B0604020202020204" pitchFamily="34" charset="0"/>
                    <a:cs typeface="Arial" panose="020B0604020202020204" pitchFamily="34" charset="0"/>
                  </a:rPr>
                  <a:t> </a:t>
                </a:r>
                <a:endParaRPr lang="es-ES" sz="1100">
                  <a:latin typeface="Arial" panose="020B0604020202020204" pitchFamily="34" charset="0"/>
                  <a:cs typeface="Arial" panose="020B0604020202020204" pitchFamily="34" charset="0"/>
                </a:endParaRPr>
              </a:p>
            </c:rich>
          </c:tx>
          <c:layout/>
          <c:overlay val="0"/>
        </c:title>
        <c:majorTickMark val="out"/>
        <c:minorTickMark val="none"/>
        <c:tickLblPos val="nextTo"/>
        <c:txPr>
          <a:bodyPr/>
          <a:lstStyle/>
          <a:p>
            <a:pPr>
              <a:defRPr sz="1100" b="0">
                <a:latin typeface="Arial" panose="020B0604020202020204" pitchFamily="34" charset="0"/>
                <a:cs typeface="Arial" panose="020B0604020202020204" pitchFamily="34" charset="0"/>
              </a:defRPr>
            </a:pPr>
            <a:endParaRPr lang="es-ES"/>
          </a:p>
        </c:txPr>
        <c:crossAx val="304804608"/>
        <c:crosses val="autoZero"/>
        <c:auto val="1"/>
        <c:lblAlgn val="ctr"/>
        <c:lblOffset val="100"/>
        <c:noMultiLvlLbl val="0"/>
      </c:catAx>
      <c:valAx>
        <c:axId val="304804608"/>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RENDIMIENTO</a:t>
                </a:r>
                <a:r>
                  <a:rPr lang="es-ES" sz="1100" baseline="0">
                    <a:latin typeface="Arial" panose="020B0604020202020204" pitchFamily="34" charset="0"/>
                    <a:cs typeface="Arial" panose="020B0604020202020204" pitchFamily="34" charset="0"/>
                  </a:rPr>
                  <a:t> ( kg/ha)</a:t>
                </a:r>
                <a:endParaRPr lang="es-ES" sz="1100">
                  <a:latin typeface="Arial" panose="020B0604020202020204" pitchFamily="34" charset="0"/>
                  <a:cs typeface="Arial" panose="020B0604020202020204" pitchFamily="34" charset="0"/>
                </a:endParaRPr>
              </a:p>
            </c:rich>
          </c:tx>
          <c:layout/>
          <c:overlay val="0"/>
        </c:title>
        <c:numFmt formatCode="0.00" sourceLinked="1"/>
        <c:majorTickMark val="out"/>
        <c:minorTickMark val="none"/>
        <c:tickLblPos val="nextTo"/>
        <c:crossAx val="303454848"/>
        <c:crosses val="autoZero"/>
        <c:crossBetween val="between"/>
      </c:valAx>
    </c:plotArea>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5217238470191227"/>
          <c:y val="3.9538887767234222E-2"/>
          <c:w val="0.81558918518084866"/>
          <c:h val="0.76069862372019359"/>
        </c:manualLayout>
      </c:layout>
      <c:bar3DChart>
        <c:barDir val="col"/>
        <c:grouping val="clustered"/>
        <c:varyColors val="0"/>
        <c:ser>
          <c:idx val="0"/>
          <c:order val="0"/>
          <c:tx>
            <c:strRef>
              <c:f>Hoja27!$O$19</c:f>
              <c:strCache>
                <c:ptCount val="1"/>
                <c:pt idx="0">
                  <c:v>Incidencia (%)</c:v>
                </c:pt>
              </c:strCache>
            </c:strRef>
          </c:tx>
          <c:spPr>
            <a:solidFill>
              <a:schemeClr val="accent4">
                <a:lumMod val="60000"/>
                <a:lumOff val="40000"/>
              </a:schemeClr>
            </a:solidFill>
          </c:spPr>
          <c:invertIfNegative val="0"/>
          <c:dLbls>
            <c:spPr>
              <a:solidFill>
                <a:schemeClr val="accent4">
                  <a:lumMod val="20000"/>
                  <a:lumOff val="80000"/>
                </a:schemeClr>
              </a:solidFill>
            </c:spPr>
            <c:txPr>
              <a:bodyPr/>
              <a:lstStyle/>
              <a:p>
                <a:pPr>
                  <a:defRPr sz="1100"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dLbls>
          <c:cat>
            <c:strRef>
              <c:f>Hoja27!$N$20:$N$23</c:f>
              <c:strCache>
                <c:ptCount val="4"/>
                <c:pt idx="0">
                  <c:v>TESTIGO</c:v>
                </c:pt>
                <c:pt idx="1">
                  <c:v>T1 (G-7)</c:v>
                </c:pt>
                <c:pt idx="2">
                  <c:v>T3 (G-15)</c:v>
                </c:pt>
                <c:pt idx="3">
                  <c:v>T2 (G-10)</c:v>
                </c:pt>
              </c:strCache>
            </c:strRef>
          </c:cat>
          <c:val>
            <c:numRef>
              <c:f>Hoja27!$O$20:$O$23</c:f>
              <c:numCache>
                <c:formatCode>0.00</c:formatCode>
                <c:ptCount val="4"/>
                <c:pt idx="0">
                  <c:v>79.400000000000006</c:v>
                </c:pt>
                <c:pt idx="1">
                  <c:v>69.67</c:v>
                </c:pt>
                <c:pt idx="2">
                  <c:v>48.65</c:v>
                </c:pt>
                <c:pt idx="3">
                  <c:v>34.76</c:v>
                </c:pt>
              </c:numCache>
            </c:numRef>
          </c:val>
        </c:ser>
        <c:dLbls>
          <c:showLegendKey val="0"/>
          <c:showVal val="0"/>
          <c:showCatName val="0"/>
          <c:showSerName val="0"/>
          <c:showPercent val="0"/>
          <c:showBubbleSize val="0"/>
        </c:dLbls>
        <c:gapWidth val="150"/>
        <c:shape val="box"/>
        <c:axId val="304933504"/>
        <c:axId val="305033984"/>
        <c:axId val="0"/>
      </c:bar3DChart>
      <c:catAx>
        <c:axId val="304933504"/>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TRATAMIENTOS</a:t>
                </a:r>
                <a:r>
                  <a:rPr lang="es-ES" sz="1200" baseline="0">
                    <a:latin typeface="Arial" panose="020B0604020202020204" pitchFamily="34" charset="0"/>
                    <a:cs typeface="Arial" panose="020B0604020202020204" pitchFamily="34" charset="0"/>
                  </a:rPr>
                  <a:t> </a:t>
                </a:r>
                <a:endParaRPr lang="es-ES" sz="1200">
                  <a:latin typeface="Arial" panose="020B0604020202020204" pitchFamily="34" charset="0"/>
                  <a:cs typeface="Arial" panose="020B0604020202020204" pitchFamily="34" charset="0"/>
                </a:endParaRPr>
              </a:p>
            </c:rich>
          </c:tx>
          <c:layout/>
          <c:overlay val="0"/>
        </c:title>
        <c:majorTickMark val="out"/>
        <c:minorTickMark val="none"/>
        <c:tickLblPos val="nextTo"/>
        <c:txPr>
          <a:bodyPr/>
          <a:lstStyle/>
          <a:p>
            <a:pPr>
              <a:defRPr sz="1200" b="0">
                <a:latin typeface="Arial" panose="020B0604020202020204" pitchFamily="34" charset="0"/>
                <a:cs typeface="Arial" panose="020B0604020202020204" pitchFamily="34" charset="0"/>
              </a:defRPr>
            </a:pPr>
            <a:endParaRPr lang="es-ES"/>
          </a:p>
        </c:txPr>
        <c:crossAx val="305033984"/>
        <c:crosses val="autoZero"/>
        <c:auto val="1"/>
        <c:lblAlgn val="ctr"/>
        <c:lblOffset val="100"/>
        <c:noMultiLvlLbl val="0"/>
      </c:catAx>
      <c:valAx>
        <c:axId val="305033984"/>
        <c:scaling>
          <c:orientation val="minMax"/>
        </c:scaling>
        <c:delete val="0"/>
        <c:axPos val="l"/>
        <c:majorGridlines/>
        <c:title>
          <c:tx>
            <c:rich>
              <a:bodyPr rot="-5400000" vert="horz"/>
              <a:lstStyle/>
              <a:p>
                <a:pPr>
                  <a:defRPr sz="1200">
                    <a:latin typeface="Arial" panose="020B0604020202020204" pitchFamily="34" charset="0"/>
                    <a:cs typeface="Arial" panose="020B0604020202020204" pitchFamily="34" charset="0"/>
                  </a:defRPr>
                </a:pPr>
                <a:r>
                  <a:rPr lang="en-US" sz="1200" baseline="0">
                    <a:latin typeface="Arial" panose="020B0604020202020204" pitchFamily="34" charset="0"/>
                    <a:cs typeface="Arial" panose="020B0604020202020204" pitchFamily="34" charset="0"/>
                  </a:rPr>
                  <a:t> INCIDENCIA (%)</a:t>
                </a:r>
                <a:endParaRPr lang="en-US" sz="1200">
                  <a:latin typeface="Arial" panose="020B0604020202020204" pitchFamily="34" charset="0"/>
                  <a:cs typeface="Arial" panose="020B0604020202020204" pitchFamily="34" charset="0"/>
                </a:endParaRPr>
              </a:p>
            </c:rich>
          </c:tx>
          <c:layout/>
          <c:overlay val="0"/>
        </c:title>
        <c:numFmt formatCode="0.00" sourceLinked="1"/>
        <c:majorTickMark val="out"/>
        <c:minorTickMark val="none"/>
        <c:tickLblPos val="nextTo"/>
        <c:crossAx val="304933504"/>
        <c:crosses val="autoZero"/>
        <c:crossBetween val="between"/>
      </c:valAx>
    </c:plotArea>
    <c:plotVisOnly val="1"/>
    <c:dispBlanksAs val="gap"/>
    <c:showDLblsOverMax val="0"/>
  </c:chart>
  <c:spPr>
    <a:gradFill>
      <a:gsLst>
        <a:gs pos="0">
          <a:schemeClr val="accent1">
            <a:lumMod val="75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Hoja11!$N$15</c:f>
              <c:strCache>
                <c:ptCount val="1"/>
                <c:pt idx="0">
                  <c:v>Porcentaje de la enfermedad (%)</c:v>
                </c:pt>
              </c:strCache>
            </c:strRef>
          </c:tx>
          <c:invertIfNegative val="0"/>
          <c:dLbls>
            <c:spPr>
              <a:solidFill>
                <a:schemeClr val="accent3">
                  <a:lumMod val="20000"/>
                  <a:lumOff val="80000"/>
                </a:schemeClr>
              </a:solidFill>
            </c:spPr>
            <c:txPr>
              <a:bodyPr/>
              <a:lstStyle/>
              <a:p>
                <a:pPr>
                  <a:defRPr sz="1100"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dLbls>
          <c:cat>
            <c:strRef>
              <c:f>Hoja11!$M$16:$M$19</c:f>
              <c:strCache>
                <c:ptCount val="4"/>
                <c:pt idx="0">
                  <c:v>TESTIGO</c:v>
                </c:pt>
                <c:pt idx="1">
                  <c:v>T1 (G-7)</c:v>
                </c:pt>
                <c:pt idx="2">
                  <c:v>T2 (G-10)</c:v>
                </c:pt>
                <c:pt idx="3">
                  <c:v>T3 (G-15)</c:v>
                </c:pt>
              </c:strCache>
            </c:strRef>
          </c:cat>
          <c:val>
            <c:numRef>
              <c:f>Hoja11!$N$16:$N$19</c:f>
              <c:numCache>
                <c:formatCode>0.00</c:formatCode>
                <c:ptCount val="4"/>
                <c:pt idx="0">
                  <c:v>0.39250000000000002</c:v>
                </c:pt>
                <c:pt idx="1">
                  <c:v>0.2</c:v>
                </c:pt>
                <c:pt idx="2">
                  <c:v>0.16</c:v>
                </c:pt>
                <c:pt idx="3">
                  <c:v>0.28000000000000003</c:v>
                </c:pt>
              </c:numCache>
            </c:numRef>
          </c:val>
        </c:ser>
        <c:dLbls>
          <c:showLegendKey val="0"/>
          <c:showVal val="0"/>
          <c:showCatName val="0"/>
          <c:showSerName val="0"/>
          <c:showPercent val="0"/>
          <c:showBubbleSize val="0"/>
        </c:dLbls>
        <c:gapWidth val="150"/>
        <c:shape val="box"/>
        <c:axId val="305199744"/>
        <c:axId val="305226496"/>
        <c:axId val="0"/>
      </c:bar3DChart>
      <c:catAx>
        <c:axId val="305199744"/>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TRATAMIENTOS </a:t>
                </a:r>
              </a:p>
            </c:rich>
          </c:tx>
          <c:layout/>
          <c:overlay val="0"/>
        </c:title>
        <c:majorTickMark val="out"/>
        <c:minorTickMark val="none"/>
        <c:tickLblPos val="nextTo"/>
        <c:txPr>
          <a:bodyPr/>
          <a:lstStyle/>
          <a:p>
            <a:pPr>
              <a:defRPr sz="1100" b="0">
                <a:latin typeface="Arial" panose="020B0604020202020204" pitchFamily="34" charset="0"/>
                <a:cs typeface="Arial" panose="020B0604020202020204" pitchFamily="34" charset="0"/>
              </a:defRPr>
            </a:pPr>
            <a:endParaRPr lang="es-ES"/>
          </a:p>
        </c:txPr>
        <c:crossAx val="305226496"/>
        <c:crosses val="autoZero"/>
        <c:auto val="1"/>
        <c:lblAlgn val="ctr"/>
        <c:lblOffset val="100"/>
        <c:noMultiLvlLbl val="0"/>
      </c:catAx>
      <c:valAx>
        <c:axId val="305226496"/>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s-ES" sz="1100">
                    <a:latin typeface="Arial" panose="020B0604020202020204" pitchFamily="34" charset="0"/>
                    <a:cs typeface="Arial" panose="020B0604020202020204" pitchFamily="34" charset="0"/>
                  </a:rPr>
                  <a:t>PORCENTAJE DE SEVERIDAD </a:t>
                </a:r>
                <a:r>
                  <a:rPr lang="es-ES" sz="1100" baseline="0">
                    <a:latin typeface="Arial" panose="020B0604020202020204" pitchFamily="34" charset="0"/>
                    <a:cs typeface="Arial" panose="020B0604020202020204" pitchFamily="34" charset="0"/>
                  </a:rPr>
                  <a:t> (%)</a:t>
                </a:r>
                <a:endParaRPr lang="es-ES" sz="1100">
                  <a:latin typeface="Arial" panose="020B0604020202020204" pitchFamily="34" charset="0"/>
                  <a:cs typeface="Arial" panose="020B0604020202020204" pitchFamily="34" charset="0"/>
                </a:endParaRPr>
              </a:p>
            </c:rich>
          </c:tx>
          <c:layout/>
          <c:overlay val="0"/>
        </c:title>
        <c:numFmt formatCode="0.00" sourceLinked="1"/>
        <c:majorTickMark val="out"/>
        <c:minorTickMark val="none"/>
        <c:tickLblPos val="nextTo"/>
        <c:crossAx val="305199744"/>
        <c:crosses val="autoZero"/>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0.29415</cdr:x>
      <cdr:y>0.22265</cdr:y>
    </cdr:from>
    <cdr:to>
      <cdr:x>0.33998</cdr:x>
      <cdr:y>0.32335</cdr:y>
    </cdr:to>
    <cdr:sp macro="" textlink="">
      <cdr:nvSpPr>
        <cdr:cNvPr id="2" name="1 CuadroTexto"/>
        <cdr:cNvSpPr txBox="1"/>
      </cdr:nvSpPr>
      <cdr:spPr>
        <a:xfrm xmlns:a="http://schemas.openxmlformats.org/drawingml/2006/main">
          <a:off x="1344842" y="486785"/>
          <a:ext cx="209535" cy="2201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0.43476</cdr:x>
      <cdr:y>0.26835</cdr:y>
    </cdr:from>
    <cdr:to>
      <cdr:x>0.53267</cdr:x>
      <cdr:y>0.43155</cdr:y>
    </cdr:to>
    <cdr:sp macro="" textlink="">
      <cdr:nvSpPr>
        <cdr:cNvPr id="3" name="2 CuadroTexto"/>
        <cdr:cNvSpPr txBox="1"/>
      </cdr:nvSpPr>
      <cdr:spPr>
        <a:xfrm xmlns:a="http://schemas.openxmlformats.org/drawingml/2006/main">
          <a:off x="1987745" y="586695"/>
          <a:ext cx="447644" cy="3568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a:latin typeface="Arial" panose="020B0604020202020204" pitchFamily="34" charset="0"/>
              <a:cs typeface="Arial" panose="020B0604020202020204" pitchFamily="34" charset="0"/>
            </a:rPr>
            <a:t>AB</a:t>
          </a:r>
        </a:p>
      </cdr:txBody>
    </cdr:sp>
  </cdr:relSizeAnchor>
  <cdr:relSizeAnchor xmlns:cdr="http://schemas.openxmlformats.org/drawingml/2006/chartDrawing">
    <cdr:from>
      <cdr:x>0.77797</cdr:x>
      <cdr:y>0.37811</cdr:y>
    </cdr:from>
    <cdr:to>
      <cdr:x>0.83838</cdr:x>
      <cdr:y>0.53436</cdr:y>
    </cdr:to>
    <cdr:sp macro="" textlink="">
      <cdr:nvSpPr>
        <cdr:cNvPr id="4" name="3 CuadroTexto"/>
        <cdr:cNvSpPr txBox="1"/>
      </cdr:nvSpPr>
      <cdr:spPr>
        <a:xfrm xmlns:a="http://schemas.openxmlformats.org/drawingml/2006/main">
          <a:off x="3556899" y="826659"/>
          <a:ext cx="276195" cy="3416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0.61179</cdr:x>
      <cdr:y>0.36094</cdr:y>
    </cdr:from>
    <cdr:to>
      <cdr:x>0.67429</cdr:x>
      <cdr:y>0.49635</cdr:y>
    </cdr:to>
    <cdr:sp macro="" textlink="">
      <cdr:nvSpPr>
        <cdr:cNvPr id="5" name="4 CuadroTexto"/>
        <cdr:cNvSpPr txBox="1"/>
      </cdr:nvSpPr>
      <cdr:spPr>
        <a:xfrm xmlns:a="http://schemas.openxmlformats.org/drawingml/2006/main">
          <a:off x="2797110" y="789125"/>
          <a:ext cx="285750" cy="2960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a:latin typeface="Arial" panose="020B0604020202020204" pitchFamily="34" charset="0"/>
              <a:cs typeface="Arial" panose="020B0604020202020204" pitchFamily="34" charset="0"/>
            </a:rPr>
            <a:t>B</a:t>
          </a:r>
        </a:p>
      </cdr:txBody>
    </cdr:sp>
  </cdr:relSizeAnchor>
</c:userShapes>
</file>

<file path=word/drawings/drawing10.xml><?xml version="1.0" encoding="utf-8"?>
<c:userShapes xmlns:c="http://schemas.openxmlformats.org/drawingml/2006/chart">
  <cdr:relSizeAnchor xmlns:cdr="http://schemas.openxmlformats.org/drawingml/2006/chartDrawing">
    <cdr:from>
      <cdr:x>0.3026</cdr:x>
      <cdr:y>0.24453</cdr:y>
    </cdr:from>
    <cdr:to>
      <cdr:x>0.3665</cdr:x>
      <cdr:y>0.42856</cdr:y>
    </cdr:to>
    <cdr:sp macro="" textlink="">
      <cdr:nvSpPr>
        <cdr:cNvPr id="2" name="1 CuadroTexto"/>
        <cdr:cNvSpPr txBox="1"/>
      </cdr:nvSpPr>
      <cdr:spPr>
        <a:xfrm xmlns:a="http://schemas.openxmlformats.org/drawingml/2006/main">
          <a:off x="1624074" y="466609"/>
          <a:ext cx="342952" cy="3511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0.45337</cdr:x>
      <cdr:y>0.44814</cdr:y>
    </cdr:from>
    <cdr:to>
      <cdr:x>0.52591</cdr:x>
      <cdr:y>0.55925</cdr:y>
    </cdr:to>
    <cdr:sp macro="" textlink="">
      <cdr:nvSpPr>
        <cdr:cNvPr id="3" name="2 CuadroTexto"/>
        <cdr:cNvSpPr txBox="1"/>
      </cdr:nvSpPr>
      <cdr:spPr>
        <a:xfrm xmlns:a="http://schemas.openxmlformats.org/drawingml/2006/main">
          <a:off x="2433266" y="855135"/>
          <a:ext cx="389324" cy="2120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0.61481</cdr:x>
      <cdr:y>0.48655</cdr:y>
    </cdr:from>
    <cdr:to>
      <cdr:x>0.65972</cdr:x>
      <cdr:y>0.58724</cdr:y>
    </cdr:to>
    <cdr:sp macro="" textlink="">
      <cdr:nvSpPr>
        <cdr:cNvPr id="4" name="3 CuadroTexto"/>
        <cdr:cNvSpPr txBox="1"/>
      </cdr:nvSpPr>
      <cdr:spPr>
        <a:xfrm xmlns:a="http://schemas.openxmlformats.org/drawingml/2006/main">
          <a:off x="3299698" y="928414"/>
          <a:ext cx="241032" cy="1921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0.76468</cdr:x>
      <cdr:y>0.51956</cdr:y>
    </cdr:from>
    <cdr:to>
      <cdr:x>0.83657</cdr:x>
      <cdr:y>0.64093</cdr:y>
    </cdr:to>
    <cdr:sp macro="" textlink="">
      <cdr:nvSpPr>
        <cdr:cNvPr id="5" name="4 CuadroTexto"/>
        <cdr:cNvSpPr txBox="1"/>
      </cdr:nvSpPr>
      <cdr:spPr>
        <a:xfrm xmlns:a="http://schemas.openxmlformats.org/drawingml/2006/main">
          <a:off x="4104038" y="991405"/>
          <a:ext cx="385835" cy="2315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userShapes>
</file>

<file path=word/drawings/drawing11.xml><?xml version="1.0" encoding="utf-8"?>
<c:userShapes xmlns:c="http://schemas.openxmlformats.org/drawingml/2006/chart">
  <cdr:relSizeAnchor xmlns:cdr="http://schemas.openxmlformats.org/drawingml/2006/chartDrawing">
    <cdr:from>
      <cdr:x>0.31893</cdr:x>
      <cdr:y>0.26525</cdr:y>
    </cdr:from>
    <cdr:to>
      <cdr:x>0.42031</cdr:x>
      <cdr:y>0.484</cdr:y>
    </cdr:to>
    <cdr:sp macro="" textlink="">
      <cdr:nvSpPr>
        <cdr:cNvPr id="2" name="1 CuadroTexto"/>
        <cdr:cNvSpPr txBox="1"/>
      </cdr:nvSpPr>
      <cdr:spPr>
        <a:xfrm xmlns:a="http://schemas.openxmlformats.org/drawingml/2006/main">
          <a:off x="1658648" y="462353"/>
          <a:ext cx="527241" cy="3812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0.46418</cdr:x>
      <cdr:y>0.43327</cdr:y>
    </cdr:from>
    <cdr:to>
      <cdr:x>0.52432</cdr:x>
      <cdr:y>0.58605</cdr:y>
    </cdr:to>
    <cdr:sp macro="" textlink="">
      <cdr:nvSpPr>
        <cdr:cNvPr id="3" name="2 CuadroTexto"/>
        <cdr:cNvSpPr txBox="1"/>
      </cdr:nvSpPr>
      <cdr:spPr>
        <a:xfrm xmlns:a="http://schemas.openxmlformats.org/drawingml/2006/main">
          <a:off x="2414052" y="755219"/>
          <a:ext cx="312767" cy="2663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0.60473</cdr:x>
      <cdr:y>0.46597</cdr:y>
    </cdr:from>
    <cdr:to>
      <cdr:x>0.67174</cdr:x>
      <cdr:y>0.61528</cdr:y>
    </cdr:to>
    <cdr:sp macro="" textlink="">
      <cdr:nvSpPr>
        <cdr:cNvPr id="4" name="3 CuadroTexto"/>
        <cdr:cNvSpPr txBox="1"/>
      </cdr:nvSpPr>
      <cdr:spPr>
        <a:xfrm xmlns:a="http://schemas.openxmlformats.org/drawingml/2006/main">
          <a:off x="3267460" y="1433005"/>
          <a:ext cx="362070" cy="459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0.76316</cdr:x>
      <cdr:y>0.46803</cdr:y>
    </cdr:from>
    <cdr:to>
      <cdr:x>0.81986</cdr:x>
      <cdr:y>0.5722</cdr:y>
    </cdr:to>
    <cdr:sp macro="" textlink="">
      <cdr:nvSpPr>
        <cdr:cNvPr id="5" name="4 CuadroTexto"/>
        <cdr:cNvSpPr txBox="1"/>
      </cdr:nvSpPr>
      <cdr:spPr>
        <a:xfrm xmlns:a="http://schemas.openxmlformats.org/drawingml/2006/main">
          <a:off x="3968920" y="815815"/>
          <a:ext cx="294877" cy="1815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userShapes>
</file>

<file path=word/drawings/drawing12.xml><?xml version="1.0" encoding="utf-8"?>
<c:userShapes xmlns:c="http://schemas.openxmlformats.org/drawingml/2006/chart">
  <cdr:relSizeAnchor xmlns:cdr="http://schemas.openxmlformats.org/drawingml/2006/chartDrawing">
    <cdr:from>
      <cdr:x>0.30522</cdr:x>
      <cdr:y>0.29913</cdr:y>
    </cdr:from>
    <cdr:to>
      <cdr:x>0.3553</cdr:x>
      <cdr:y>0.45191</cdr:y>
    </cdr:to>
    <cdr:sp macro="" textlink="">
      <cdr:nvSpPr>
        <cdr:cNvPr id="2" name="1 CuadroTexto"/>
        <cdr:cNvSpPr txBox="1"/>
      </cdr:nvSpPr>
      <cdr:spPr>
        <a:xfrm xmlns:a="http://schemas.openxmlformats.org/drawingml/2006/main">
          <a:off x="1648390" y="555590"/>
          <a:ext cx="270466" cy="2837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0.46049</cdr:x>
      <cdr:y>0.4034</cdr:y>
    </cdr:from>
    <cdr:to>
      <cdr:x>0.52393</cdr:x>
      <cdr:y>0.54576</cdr:y>
    </cdr:to>
    <cdr:sp macro="" textlink="">
      <cdr:nvSpPr>
        <cdr:cNvPr id="3" name="2 CuadroTexto"/>
        <cdr:cNvSpPr txBox="1"/>
      </cdr:nvSpPr>
      <cdr:spPr>
        <a:xfrm xmlns:a="http://schemas.openxmlformats.org/drawingml/2006/main">
          <a:off x="2486931" y="749272"/>
          <a:ext cx="342619" cy="264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0.61271</cdr:x>
      <cdr:y>0.41314</cdr:y>
    </cdr:from>
    <cdr:to>
      <cdr:x>0.6678</cdr:x>
      <cdr:y>0.53813</cdr:y>
    </cdr:to>
    <cdr:sp macro="" textlink="">
      <cdr:nvSpPr>
        <cdr:cNvPr id="4" name="3 CuadroTexto"/>
        <cdr:cNvSpPr txBox="1"/>
      </cdr:nvSpPr>
      <cdr:spPr>
        <a:xfrm xmlns:a="http://schemas.openxmlformats.org/drawingml/2006/main">
          <a:off x="3309056" y="767347"/>
          <a:ext cx="297524" cy="2321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0.75882</cdr:x>
      <cdr:y>0.4416</cdr:y>
    </cdr:from>
    <cdr:to>
      <cdr:x>0.8256</cdr:x>
      <cdr:y>0.55966</cdr:y>
    </cdr:to>
    <cdr:sp macro="" textlink="">
      <cdr:nvSpPr>
        <cdr:cNvPr id="5" name="4 CuadroTexto"/>
        <cdr:cNvSpPr txBox="1"/>
      </cdr:nvSpPr>
      <cdr:spPr>
        <a:xfrm xmlns:a="http://schemas.openxmlformats.org/drawingml/2006/main">
          <a:off x="4098166" y="820215"/>
          <a:ext cx="360657" cy="2192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userShapes>
</file>

<file path=word/drawings/drawing13.xml><?xml version="1.0" encoding="utf-8"?>
<c:userShapes xmlns:c="http://schemas.openxmlformats.org/drawingml/2006/chart">
  <cdr:relSizeAnchor xmlns:cdr="http://schemas.openxmlformats.org/drawingml/2006/chartDrawing">
    <cdr:from>
      <cdr:x>0.31233</cdr:x>
      <cdr:y>0.23852</cdr:y>
    </cdr:from>
    <cdr:to>
      <cdr:x>0.37718</cdr:x>
      <cdr:y>0.39824</cdr:y>
    </cdr:to>
    <cdr:sp macro="" textlink="">
      <cdr:nvSpPr>
        <cdr:cNvPr id="2" name="1 CuadroTexto"/>
        <cdr:cNvSpPr txBox="1"/>
      </cdr:nvSpPr>
      <cdr:spPr>
        <a:xfrm xmlns:a="http://schemas.openxmlformats.org/drawingml/2006/main">
          <a:off x="1552900" y="443026"/>
          <a:ext cx="322438" cy="296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0.47542</cdr:x>
      <cdr:y>0.35186</cdr:y>
    </cdr:from>
    <cdr:to>
      <cdr:x>0.51467</cdr:x>
      <cdr:y>0.45255</cdr:y>
    </cdr:to>
    <cdr:sp macro="" textlink="">
      <cdr:nvSpPr>
        <cdr:cNvPr id="3" name="2 CuadroTexto"/>
        <cdr:cNvSpPr txBox="1"/>
      </cdr:nvSpPr>
      <cdr:spPr>
        <a:xfrm xmlns:a="http://schemas.openxmlformats.org/drawingml/2006/main">
          <a:off x="2363807" y="653534"/>
          <a:ext cx="195153" cy="187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0.6177</cdr:x>
      <cdr:y>0.32991</cdr:y>
    </cdr:from>
    <cdr:to>
      <cdr:x>0.66548</cdr:x>
      <cdr:y>0.42713</cdr:y>
    </cdr:to>
    <cdr:sp macro="" textlink="">
      <cdr:nvSpPr>
        <cdr:cNvPr id="4" name="3 CuadroTexto"/>
        <cdr:cNvSpPr txBox="1"/>
      </cdr:nvSpPr>
      <cdr:spPr>
        <a:xfrm xmlns:a="http://schemas.openxmlformats.org/drawingml/2006/main">
          <a:off x="3071240" y="612775"/>
          <a:ext cx="237565" cy="1805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0.77028</cdr:x>
      <cdr:y>0.37323</cdr:y>
    </cdr:from>
    <cdr:to>
      <cdr:x>0.8266</cdr:x>
      <cdr:y>0.49823</cdr:y>
    </cdr:to>
    <cdr:sp macro="" textlink="">
      <cdr:nvSpPr>
        <cdr:cNvPr id="5" name="4 CuadroTexto"/>
        <cdr:cNvSpPr txBox="1"/>
      </cdr:nvSpPr>
      <cdr:spPr>
        <a:xfrm xmlns:a="http://schemas.openxmlformats.org/drawingml/2006/main">
          <a:off x="3829891" y="693226"/>
          <a:ext cx="280026" cy="2321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userShapes>
</file>

<file path=word/drawings/drawing2.xml><?xml version="1.0" encoding="utf-8"?>
<c:userShapes xmlns:c="http://schemas.openxmlformats.org/drawingml/2006/chart">
  <cdr:relSizeAnchor xmlns:cdr="http://schemas.openxmlformats.org/drawingml/2006/chartDrawing">
    <cdr:from>
      <cdr:x>0.27575</cdr:x>
      <cdr:y>0.26923</cdr:y>
    </cdr:from>
    <cdr:to>
      <cdr:x>0.32629</cdr:x>
      <cdr:y>0.37339</cdr:y>
    </cdr:to>
    <cdr:sp macro="" textlink="">
      <cdr:nvSpPr>
        <cdr:cNvPr id="2" name="1 CuadroTexto"/>
        <cdr:cNvSpPr txBox="1"/>
      </cdr:nvSpPr>
      <cdr:spPr>
        <a:xfrm xmlns:a="http://schemas.openxmlformats.org/drawingml/2006/main">
          <a:off x="1405873" y="607425"/>
          <a:ext cx="257674" cy="2350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0.2491</cdr:x>
      <cdr:y>0.39583</cdr:y>
    </cdr:from>
    <cdr:to>
      <cdr:x>0.30325</cdr:x>
      <cdr:y>0.57639</cdr:y>
    </cdr:to>
    <cdr:sp macro="" textlink="">
      <cdr:nvSpPr>
        <cdr:cNvPr id="3" name="2 CuadroTexto"/>
        <cdr:cNvSpPr txBox="1"/>
      </cdr:nvSpPr>
      <cdr:spPr>
        <a:xfrm xmlns:a="http://schemas.openxmlformats.org/drawingml/2006/main">
          <a:off x="1314450" y="1085850"/>
          <a:ext cx="28575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0.5985</cdr:x>
      <cdr:y>0.37904</cdr:y>
    </cdr:from>
    <cdr:to>
      <cdr:x>0.67792</cdr:x>
      <cdr:y>0.55959</cdr:y>
    </cdr:to>
    <cdr:sp macro="" textlink="">
      <cdr:nvSpPr>
        <cdr:cNvPr id="4" name="3 CuadroTexto"/>
        <cdr:cNvSpPr txBox="1"/>
      </cdr:nvSpPr>
      <cdr:spPr>
        <a:xfrm xmlns:a="http://schemas.openxmlformats.org/drawingml/2006/main">
          <a:off x="3051390" y="855164"/>
          <a:ext cx="404916" cy="4073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AB</a:t>
          </a:r>
        </a:p>
      </cdr:txBody>
    </cdr:sp>
  </cdr:relSizeAnchor>
  <cdr:relSizeAnchor xmlns:cdr="http://schemas.openxmlformats.org/drawingml/2006/chartDrawing">
    <cdr:from>
      <cdr:x>0.43409</cdr:x>
      <cdr:y>0.32469</cdr:y>
    </cdr:from>
    <cdr:to>
      <cdr:x>0.52073</cdr:x>
      <cdr:y>0.41497</cdr:y>
    </cdr:to>
    <cdr:sp macro="" textlink="">
      <cdr:nvSpPr>
        <cdr:cNvPr id="5" name="4 CuadroTexto"/>
        <cdr:cNvSpPr txBox="1"/>
      </cdr:nvSpPr>
      <cdr:spPr>
        <a:xfrm xmlns:a="http://schemas.openxmlformats.org/drawingml/2006/main">
          <a:off x="2213169" y="732546"/>
          <a:ext cx="441726" cy="2036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AB</a:t>
          </a:r>
        </a:p>
      </cdr:txBody>
    </cdr:sp>
  </cdr:relSizeAnchor>
  <cdr:relSizeAnchor xmlns:cdr="http://schemas.openxmlformats.org/drawingml/2006/chartDrawing">
    <cdr:from>
      <cdr:x>0.77128</cdr:x>
      <cdr:y>0.39772</cdr:y>
    </cdr:from>
    <cdr:to>
      <cdr:x>0.82362</cdr:x>
      <cdr:y>0.48105</cdr:y>
    </cdr:to>
    <cdr:sp macro="" textlink="">
      <cdr:nvSpPr>
        <cdr:cNvPr id="6" name="5 CuadroTexto"/>
        <cdr:cNvSpPr txBox="1"/>
      </cdr:nvSpPr>
      <cdr:spPr>
        <a:xfrm xmlns:a="http://schemas.openxmlformats.org/drawingml/2006/main">
          <a:off x="3932317" y="897325"/>
          <a:ext cx="266851" cy="1880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C</a:t>
          </a:r>
        </a:p>
      </cdr:txBody>
    </cdr:sp>
  </cdr:relSizeAnchor>
</c:userShapes>
</file>

<file path=word/drawings/drawing3.xml><?xml version="1.0" encoding="utf-8"?>
<c:userShapes xmlns:c="http://schemas.openxmlformats.org/drawingml/2006/chart">
  <cdr:relSizeAnchor xmlns:cdr="http://schemas.openxmlformats.org/drawingml/2006/chartDrawing">
    <cdr:from>
      <cdr:x>0.23102</cdr:x>
      <cdr:y>0.18524</cdr:y>
    </cdr:from>
    <cdr:to>
      <cdr:x>0.28217</cdr:x>
      <cdr:y>0.29288</cdr:y>
    </cdr:to>
    <cdr:sp macro="" textlink="">
      <cdr:nvSpPr>
        <cdr:cNvPr id="2" name="1 CuadroTexto"/>
        <cdr:cNvSpPr txBox="1"/>
      </cdr:nvSpPr>
      <cdr:spPr>
        <a:xfrm xmlns:a="http://schemas.openxmlformats.org/drawingml/2006/main">
          <a:off x="1216416" y="508153"/>
          <a:ext cx="269326" cy="2952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0.42124</cdr:x>
      <cdr:y>0.21645</cdr:y>
    </cdr:from>
    <cdr:to>
      <cdr:x>0.47415</cdr:x>
      <cdr:y>0.33104</cdr:y>
    </cdr:to>
    <cdr:sp macro="" textlink="">
      <cdr:nvSpPr>
        <cdr:cNvPr id="3" name="2 CuadroTexto"/>
        <cdr:cNvSpPr txBox="1"/>
      </cdr:nvSpPr>
      <cdr:spPr>
        <a:xfrm xmlns:a="http://schemas.openxmlformats.org/drawingml/2006/main">
          <a:off x="2218016" y="593757"/>
          <a:ext cx="278593" cy="3143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0.59862</cdr:x>
      <cdr:y>0.36052</cdr:y>
    </cdr:from>
    <cdr:to>
      <cdr:x>0.67975</cdr:x>
      <cdr:y>0.4751</cdr:y>
    </cdr:to>
    <cdr:sp macro="" textlink="">
      <cdr:nvSpPr>
        <cdr:cNvPr id="4" name="3 CuadroTexto"/>
        <cdr:cNvSpPr txBox="1"/>
      </cdr:nvSpPr>
      <cdr:spPr>
        <a:xfrm xmlns:a="http://schemas.openxmlformats.org/drawingml/2006/main">
          <a:off x="3151979" y="988992"/>
          <a:ext cx="427183" cy="3143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AB</a:t>
          </a:r>
        </a:p>
      </cdr:txBody>
    </cdr:sp>
  </cdr:relSizeAnchor>
  <cdr:relSizeAnchor xmlns:cdr="http://schemas.openxmlformats.org/drawingml/2006/chartDrawing">
    <cdr:from>
      <cdr:x>0.77139</cdr:x>
      <cdr:y>0.49953</cdr:y>
    </cdr:from>
    <cdr:to>
      <cdr:x>0.85251</cdr:x>
      <cdr:y>0.61412</cdr:y>
    </cdr:to>
    <cdr:sp macro="" textlink="">
      <cdr:nvSpPr>
        <cdr:cNvPr id="6" name="1 CuadroTexto"/>
        <cdr:cNvSpPr txBox="1"/>
      </cdr:nvSpPr>
      <cdr:spPr>
        <a:xfrm xmlns:a="http://schemas.openxmlformats.org/drawingml/2006/main">
          <a:off x="4061683" y="1370310"/>
          <a:ext cx="427131" cy="3143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b="1">
              <a:latin typeface="Arial" panose="020B0604020202020204" pitchFamily="34" charset="0"/>
              <a:cs typeface="Arial" panose="020B0604020202020204" pitchFamily="34" charset="0"/>
            </a:rPr>
            <a:t>B</a:t>
          </a:r>
        </a:p>
      </cdr:txBody>
    </cdr:sp>
  </cdr:relSizeAnchor>
</c:userShapes>
</file>

<file path=word/drawings/drawing4.xml><?xml version="1.0" encoding="utf-8"?>
<c:userShapes xmlns:c="http://schemas.openxmlformats.org/drawingml/2006/chart">
  <cdr:relSizeAnchor xmlns:cdr="http://schemas.openxmlformats.org/drawingml/2006/chartDrawing">
    <cdr:from>
      <cdr:x>0.2977</cdr:x>
      <cdr:y>0.23908</cdr:y>
    </cdr:from>
    <cdr:to>
      <cdr:x>0.35005</cdr:x>
      <cdr:y>0.3363</cdr:y>
    </cdr:to>
    <cdr:sp macro="" textlink="">
      <cdr:nvSpPr>
        <cdr:cNvPr id="2" name="1 CuadroTexto"/>
        <cdr:cNvSpPr txBox="1"/>
      </cdr:nvSpPr>
      <cdr:spPr>
        <a:xfrm xmlns:a="http://schemas.openxmlformats.org/drawingml/2006/main">
          <a:off x="1408330" y="472758"/>
          <a:ext cx="247655" cy="1922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0.43725</cdr:x>
      <cdr:y>0.38306</cdr:y>
    </cdr:from>
    <cdr:to>
      <cdr:x>0.52149</cdr:x>
      <cdr:y>0.48028</cdr:y>
    </cdr:to>
    <cdr:sp macro="" textlink="">
      <cdr:nvSpPr>
        <cdr:cNvPr id="4" name="1 CuadroTexto"/>
        <cdr:cNvSpPr txBox="1"/>
      </cdr:nvSpPr>
      <cdr:spPr>
        <a:xfrm xmlns:a="http://schemas.openxmlformats.org/drawingml/2006/main">
          <a:off x="2068528" y="757452"/>
          <a:ext cx="398519" cy="1922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b="1">
              <a:latin typeface="Arial" panose="020B0604020202020204" pitchFamily="34" charset="0"/>
              <a:cs typeface="Arial" panose="020B0604020202020204" pitchFamily="34" charset="0"/>
            </a:rPr>
            <a:t>AB</a:t>
          </a:r>
        </a:p>
      </cdr:txBody>
    </cdr:sp>
  </cdr:relSizeAnchor>
  <cdr:relSizeAnchor xmlns:cdr="http://schemas.openxmlformats.org/drawingml/2006/chartDrawing">
    <cdr:from>
      <cdr:x>0.61958</cdr:x>
      <cdr:y>0.43585</cdr:y>
    </cdr:from>
    <cdr:to>
      <cdr:x>0.67193</cdr:x>
      <cdr:y>0.53307</cdr:y>
    </cdr:to>
    <cdr:sp macro="" textlink="">
      <cdr:nvSpPr>
        <cdr:cNvPr id="6" name="1 CuadroTexto"/>
        <cdr:cNvSpPr txBox="1"/>
      </cdr:nvSpPr>
      <cdr:spPr>
        <a:xfrm xmlns:a="http://schemas.openxmlformats.org/drawingml/2006/main">
          <a:off x="2931085" y="861843"/>
          <a:ext cx="247655" cy="1922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0.77274</cdr:x>
      <cdr:y>0.48094</cdr:y>
    </cdr:from>
    <cdr:to>
      <cdr:x>0.82509</cdr:x>
      <cdr:y>0.57816</cdr:y>
    </cdr:to>
    <cdr:sp macro="" textlink="">
      <cdr:nvSpPr>
        <cdr:cNvPr id="8" name="1 CuadroTexto"/>
        <cdr:cNvSpPr txBox="1"/>
      </cdr:nvSpPr>
      <cdr:spPr>
        <a:xfrm xmlns:a="http://schemas.openxmlformats.org/drawingml/2006/main">
          <a:off x="3655651" y="951002"/>
          <a:ext cx="247654" cy="1922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b="1">
              <a:latin typeface="Arial" panose="020B0604020202020204" pitchFamily="34" charset="0"/>
              <a:cs typeface="Arial" panose="020B0604020202020204" pitchFamily="34" charset="0"/>
            </a:rPr>
            <a:t>B</a:t>
          </a:r>
        </a:p>
      </cdr:txBody>
    </cdr:sp>
  </cdr:relSizeAnchor>
</c:userShapes>
</file>

<file path=word/drawings/drawing5.xml><?xml version="1.0" encoding="utf-8"?>
<c:userShapes xmlns:c="http://schemas.openxmlformats.org/drawingml/2006/chart">
  <cdr:relSizeAnchor xmlns:cdr="http://schemas.openxmlformats.org/drawingml/2006/chartDrawing">
    <cdr:from>
      <cdr:x>0.27696</cdr:x>
      <cdr:y>0.17904</cdr:y>
    </cdr:from>
    <cdr:to>
      <cdr:x>0.35601</cdr:x>
      <cdr:y>0.32565</cdr:y>
    </cdr:to>
    <cdr:sp macro="" textlink="">
      <cdr:nvSpPr>
        <cdr:cNvPr id="2" name="1 CuadroTexto"/>
        <cdr:cNvSpPr txBox="1"/>
      </cdr:nvSpPr>
      <cdr:spPr>
        <a:xfrm xmlns:a="http://schemas.openxmlformats.org/drawingml/2006/main">
          <a:off x="1456176" y="368366"/>
          <a:ext cx="415629" cy="3016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0.4409</cdr:x>
      <cdr:y>0.40181</cdr:y>
    </cdr:from>
    <cdr:to>
      <cdr:x>0.51798</cdr:x>
      <cdr:y>0.58314</cdr:y>
    </cdr:to>
    <cdr:sp macro="" textlink="">
      <cdr:nvSpPr>
        <cdr:cNvPr id="3" name="2 CuadroTexto"/>
        <cdr:cNvSpPr txBox="1"/>
      </cdr:nvSpPr>
      <cdr:spPr>
        <a:xfrm xmlns:a="http://schemas.openxmlformats.org/drawingml/2006/main">
          <a:off x="2318171" y="826674"/>
          <a:ext cx="405271" cy="3730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0.60947</cdr:x>
      <cdr:y>0.39551</cdr:y>
    </cdr:from>
    <cdr:to>
      <cdr:x>0.64702</cdr:x>
      <cdr:y>0.52668</cdr:y>
    </cdr:to>
    <cdr:sp macro="" textlink="">
      <cdr:nvSpPr>
        <cdr:cNvPr id="4" name="3 CuadroTexto"/>
        <cdr:cNvSpPr txBox="1"/>
      </cdr:nvSpPr>
      <cdr:spPr>
        <a:xfrm xmlns:a="http://schemas.openxmlformats.org/drawingml/2006/main">
          <a:off x="3204470" y="813724"/>
          <a:ext cx="197430" cy="2698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0.76745</cdr:x>
      <cdr:y>0.46416</cdr:y>
    </cdr:from>
    <cdr:to>
      <cdr:x>0.83662</cdr:x>
      <cdr:y>0.63005</cdr:y>
    </cdr:to>
    <cdr:sp macro="" textlink="">
      <cdr:nvSpPr>
        <cdr:cNvPr id="5" name="4 CuadroTexto"/>
        <cdr:cNvSpPr txBox="1"/>
      </cdr:nvSpPr>
      <cdr:spPr>
        <a:xfrm xmlns:a="http://schemas.openxmlformats.org/drawingml/2006/main">
          <a:off x="4035074" y="954973"/>
          <a:ext cx="363682" cy="3413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userShapes>
</file>

<file path=word/drawings/drawing6.xml><?xml version="1.0" encoding="utf-8"?>
<c:userShapes xmlns:c="http://schemas.openxmlformats.org/drawingml/2006/chart">
  <cdr:relSizeAnchor xmlns:cdr="http://schemas.openxmlformats.org/drawingml/2006/chartDrawing">
    <cdr:from>
      <cdr:x>0.25461</cdr:x>
      <cdr:y>0.16119</cdr:y>
    </cdr:from>
    <cdr:to>
      <cdr:x>0.31641</cdr:x>
      <cdr:y>0.26882</cdr:y>
    </cdr:to>
    <cdr:sp macro="" textlink="">
      <cdr:nvSpPr>
        <cdr:cNvPr id="2" name="1 CuadroTexto"/>
        <cdr:cNvSpPr txBox="1"/>
      </cdr:nvSpPr>
      <cdr:spPr>
        <a:xfrm xmlns:a="http://schemas.openxmlformats.org/drawingml/2006/main">
          <a:off x="1290993" y="449334"/>
          <a:ext cx="313355" cy="3000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0.42678</cdr:x>
      <cdr:y>0.22299</cdr:y>
    </cdr:from>
    <cdr:to>
      <cdr:x>0.52042</cdr:x>
      <cdr:y>0.3341</cdr:y>
    </cdr:to>
    <cdr:sp macro="" textlink="">
      <cdr:nvSpPr>
        <cdr:cNvPr id="3" name="2 CuadroTexto"/>
        <cdr:cNvSpPr txBox="1"/>
      </cdr:nvSpPr>
      <cdr:spPr>
        <a:xfrm xmlns:a="http://schemas.openxmlformats.org/drawingml/2006/main">
          <a:off x="2163993" y="621626"/>
          <a:ext cx="474799" cy="3097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0.60265</cdr:x>
      <cdr:y>0.39853</cdr:y>
    </cdr:from>
    <cdr:to>
      <cdr:x>0.68505</cdr:x>
      <cdr:y>0.50964</cdr:y>
    </cdr:to>
    <cdr:sp macro="" textlink="">
      <cdr:nvSpPr>
        <cdr:cNvPr id="4" name="3 CuadroTexto"/>
        <cdr:cNvSpPr txBox="1"/>
      </cdr:nvSpPr>
      <cdr:spPr>
        <a:xfrm xmlns:a="http://schemas.openxmlformats.org/drawingml/2006/main">
          <a:off x="3088275" y="1218503"/>
          <a:ext cx="422255" cy="3397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0.78232</cdr:x>
      <cdr:y>0.50446</cdr:y>
    </cdr:from>
    <cdr:to>
      <cdr:x>0.8385</cdr:x>
      <cdr:y>0.58779</cdr:y>
    </cdr:to>
    <cdr:sp macro="" textlink="">
      <cdr:nvSpPr>
        <cdr:cNvPr id="5" name="4 CuadroTexto"/>
        <cdr:cNvSpPr txBox="1"/>
      </cdr:nvSpPr>
      <cdr:spPr>
        <a:xfrm xmlns:a="http://schemas.openxmlformats.org/drawingml/2006/main">
          <a:off x="3966742" y="1406267"/>
          <a:ext cx="284859" cy="2322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userShapes>
</file>

<file path=word/drawings/drawing7.xml><?xml version="1.0" encoding="utf-8"?>
<c:userShapes xmlns:c="http://schemas.openxmlformats.org/drawingml/2006/chart">
  <cdr:relSizeAnchor xmlns:cdr="http://schemas.openxmlformats.org/drawingml/2006/chartDrawing">
    <cdr:from>
      <cdr:x>0.30219</cdr:x>
      <cdr:y>0.20004</cdr:y>
    </cdr:from>
    <cdr:to>
      <cdr:x>0.35235</cdr:x>
      <cdr:y>0.38059</cdr:y>
    </cdr:to>
    <cdr:sp macro="" textlink="">
      <cdr:nvSpPr>
        <cdr:cNvPr id="2" name="1 CuadroTexto"/>
        <cdr:cNvSpPr txBox="1"/>
      </cdr:nvSpPr>
      <cdr:spPr>
        <a:xfrm xmlns:a="http://schemas.openxmlformats.org/drawingml/2006/main">
          <a:off x="1632014" y="382979"/>
          <a:ext cx="270898" cy="3456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0.43768</cdr:x>
      <cdr:y>0.44186</cdr:y>
    </cdr:from>
    <cdr:to>
      <cdr:x>0.48784</cdr:x>
      <cdr:y>0.55256</cdr:y>
    </cdr:to>
    <cdr:sp macro="" textlink="">
      <cdr:nvSpPr>
        <cdr:cNvPr id="3" name="2 CuadroTexto"/>
        <cdr:cNvSpPr txBox="1"/>
      </cdr:nvSpPr>
      <cdr:spPr>
        <a:xfrm xmlns:a="http://schemas.openxmlformats.org/drawingml/2006/main">
          <a:off x="2354882" y="963227"/>
          <a:ext cx="269878" cy="2413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0.61286</cdr:x>
      <cdr:y>0.49488</cdr:y>
    </cdr:from>
    <cdr:to>
      <cdr:x>0.65801</cdr:x>
      <cdr:y>0.5921</cdr:y>
    </cdr:to>
    <cdr:sp macro="" textlink="">
      <cdr:nvSpPr>
        <cdr:cNvPr id="4" name="3 CuadroTexto"/>
        <cdr:cNvSpPr txBox="1"/>
      </cdr:nvSpPr>
      <cdr:spPr>
        <a:xfrm xmlns:a="http://schemas.openxmlformats.org/drawingml/2006/main">
          <a:off x="3309855" y="947452"/>
          <a:ext cx="243840" cy="1861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0.76671</cdr:x>
      <cdr:y>0.35451</cdr:y>
    </cdr:from>
    <cdr:to>
      <cdr:x>0.81186</cdr:x>
      <cdr:y>0.50382</cdr:y>
    </cdr:to>
    <cdr:sp macro="" textlink="">
      <cdr:nvSpPr>
        <cdr:cNvPr id="5" name="4 CuadroTexto"/>
        <cdr:cNvSpPr txBox="1"/>
      </cdr:nvSpPr>
      <cdr:spPr>
        <a:xfrm xmlns:a="http://schemas.openxmlformats.org/drawingml/2006/main">
          <a:off x="4140740" y="678723"/>
          <a:ext cx="243840" cy="28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userShapes>
</file>

<file path=word/drawings/drawing8.xml><?xml version="1.0" encoding="utf-8"?>
<c:userShapes xmlns:c="http://schemas.openxmlformats.org/drawingml/2006/chart">
  <cdr:relSizeAnchor xmlns:cdr="http://schemas.openxmlformats.org/drawingml/2006/chartDrawing">
    <cdr:from>
      <cdr:x>0.30212</cdr:x>
      <cdr:y>0.21635</cdr:y>
    </cdr:from>
    <cdr:to>
      <cdr:x>0.35161</cdr:x>
      <cdr:y>0.36912</cdr:y>
    </cdr:to>
    <cdr:sp macro="" textlink="">
      <cdr:nvSpPr>
        <cdr:cNvPr id="2" name="1 CuadroTexto"/>
        <cdr:cNvSpPr txBox="1"/>
      </cdr:nvSpPr>
      <cdr:spPr>
        <a:xfrm xmlns:a="http://schemas.openxmlformats.org/drawingml/2006/main">
          <a:off x="1606887" y="414620"/>
          <a:ext cx="263226" cy="2927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0.45918</cdr:x>
      <cdr:y>0.50821</cdr:y>
    </cdr:from>
    <cdr:to>
      <cdr:x>0.51037</cdr:x>
      <cdr:y>0.61933</cdr:y>
    </cdr:to>
    <cdr:sp macro="" textlink="">
      <cdr:nvSpPr>
        <cdr:cNvPr id="3" name="2 CuadroTexto"/>
        <cdr:cNvSpPr txBox="1"/>
      </cdr:nvSpPr>
      <cdr:spPr>
        <a:xfrm xmlns:a="http://schemas.openxmlformats.org/drawingml/2006/main">
          <a:off x="2442244" y="973953"/>
          <a:ext cx="272267" cy="2129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0.46246</cdr:x>
      <cdr:y>0.67014</cdr:y>
    </cdr:from>
    <cdr:to>
      <cdr:x>0.51195</cdr:x>
      <cdr:y>0.81944</cdr:y>
    </cdr:to>
    <cdr:sp macro="" textlink="">
      <cdr:nvSpPr>
        <cdr:cNvPr id="4" name="3 CuadroTexto"/>
        <cdr:cNvSpPr txBox="1"/>
      </cdr:nvSpPr>
      <cdr:spPr>
        <a:xfrm xmlns:a="http://schemas.openxmlformats.org/drawingml/2006/main">
          <a:off x="2581275" y="1838325"/>
          <a:ext cx="27622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0.78782</cdr:x>
      <cdr:y>0.47596</cdr:y>
    </cdr:from>
    <cdr:to>
      <cdr:x>0.84072</cdr:x>
      <cdr:y>0.56276</cdr:y>
    </cdr:to>
    <cdr:sp macro="" textlink="">
      <cdr:nvSpPr>
        <cdr:cNvPr id="6" name="5 CuadroTexto"/>
        <cdr:cNvSpPr txBox="1"/>
      </cdr:nvSpPr>
      <cdr:spPr>
        <a:xfrm xmlns:a="http://schemas.openxmlformats.org/drawingml/2006/main">
          <a:off x="4176224" y="1203498"/>
          <a:ext cx="280421" cy="2194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0.61625</cdr:x>
      <cdr:y>0.48714</cdr:y>
    </cdr:from>
    <cdr:to>
      <cdr:x>0.65936</cdr:x>
      <cdr:y>0.58158</cdr:y>
    </cdr:to>
    <cdr:sp macro="" textlink="">
      <cdr:nvSpPr>
        <cdr:cNvPr id="5" name="4 Cuadro de texto"/>
        <cdr:cNvSpPr txBox="1"/>
      </cdr:nvSpPr>
      <cdr:spPr>
        <a:xfrm xmlns:a="http://schemas.openxmlformats.org/drawingml/2006/main">
          <a:off x="3277686" y="933570"/>
          <a:ext cx="229292" cy="1809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userShapes>
</file>

<file path=word/drawings/drawing9.xml><?xml version="1.0" encoding="utf-8"?>
<c:userShapes xmlns:c="http://schemas.openxmlformats.org/drawingml/2006/chart">
  <cdr:relSizeAnchor xmlns:cdr="http://schemas.openxmlformats.org/drawingml/2006/chartDrawing">
    <cdr:from>
      <cdr:x>0.2746</cdr:x>
      <cdr:y>0.18929</cdr:y>
    </cdr:from>
    <cdr:to>
      <cdr:x>0.32578</cdr:x>
      <cdr:y>0.35596</cdr:y>
    </cdr:to>
    <cdr:sp macro="" textlink="">
      <cdr:nvSpPr>
        <cdr:cNvPr id="2" name="1 CuadroTexto"/>
        <cdr:cNvSpPr txBox="1"/>
      </cdr:nvSpPr>
      <cdr:spPr>
        <a:xfrm xmlns:a="http://schemas.openxmlformats.org/drawingml/2006/main">
          <a:off x="1328702" y="549907"/>
          <a:ext cx="247645" cy="4841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0.44196</cdr:x>
      <cdr:y>0.44717</cdr:y>
    </cdr:from>
    <cdr:to>
      <cdr:x>0.54235</cdr:x>
      <cdr:y>0.58258</cdr:y>
    </cdr:to>
    <cdr:sp macro="" textlink="">
      <cdr:nvSpPr>
        <cdr:cNvPr id="3" name="2 CuadroTexto"/>
        <cdr:cNvSpPr txBox="1"/>
      </cdr:nvSpPr>
      <cdr:spPr>
        <a:xfrm xmlns:a="http://schemas.openxmlformats.org/drawingml/2006/main">
          <a:off x="2253562" y="849024"/>
          <a:ext cx="511894" cy="257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AB</a:t>
          </a:r>
        </a:p>
      </cdr:txBody>
    </cdr:sp>
  </cdr:relSizeAnchor>
  <cdr:relSizeAnchor xmlns:cdr="http://schemas.openxmlformats.org/drawingml/2006/chartDrawing">
    <cdr:from>
      <cdr:x>0.60975</cdr:x>
      <cdr:y>0.49561</cdr:y>
    </cdr:from>
    <cdr:to>
      <cdr:x>0.657</cdr:x>
      <cdr:y>0.58589</cdr:y>
    </cdr:to>
    <cdr:sp macro="" textlink="">
      <cdr:nvSpPr>
        <cdr:cNvPr id="4" name="3 CuadroTexto"/>
        <cdr:cNvSpPr txBox="1"/>
      </cdr:nvSpPr>
      <cdr:spPr>
        <a:xfrm xmlns:a="http://schemas.openxmlformats.org/drawingml/2006/main">
          <a:off x="3109167" y="940993"/>
          <a:ext cx="240930" cy="1714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0.77568</cdr:x>
      <cdr:y>0.54971</cdr:y>
    </cdr:from>
    <cdr:to>
      <cdr:x>0.82686</cdr:x>
      <cdr:y>0.65295</cdr:y>
    </cdr:to>
    <cdr:sp macro="" textlink="">
      <cdr:nvSpPr>
        <cdr:cNvPr id="5" name="4 CuadroTexto"/>
        <cdr:cNvSpPr txBox="1"/>
      </cdr:nvSpPr>
      <cdr:spPr>
        <a:xfrm xmlns:a="http://schemas.openxmlformats.org/drawingml/2006/main">
          <a:off x="3955231" y="1043710"/>
          <a:ext cx="260969" cy="196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latin typeface="Arial" panose="020B0604020202020204" pitchFamily="34" charset="0"/>
              <a:cs typeface="Arial" panose="020B0604020202020204" pitchFamily="34" charset="0"/>
            </a:rPr>
            <a:t>B</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36</Pages>
  <Words>7771</Words>
  <Characters>42742</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NOEMIS</dc:creator>
  <cp:lastModifiedBy>NOEMIS</cp:lastModifiedBy>
  <cp:revision>2</cp:revision>
  <dcterms:created xsi:type="dcterms:W3CDTF">2021-11-09T20:46:00Z</dcterms:created>
  <dcterms:modified xsi:type="dcterms:W3CDTF">2021-11-09T20:46:00Z</dcterms:modified>
</cp:coreProperties>
</file>